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  <w:t>福建平潭渝农商村镇银行有限责任</w:t>
      </w: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  <w:t>公司代理销售渝农商理财有限责任公司理财产品的公告</w:t>
      </w:r>
    </w:p>
    <w:p>
      <w:pPr>
        <w:spacing w:beforeLines="0" w:afterLines="0"/>
        <w:jc w:val="left"/>
        <w:rPr>
          <w:rFonts w:hint="eastAsia" w:ascii="FZFSK--GBK1-0" w:hAnsi="FZFSK--GBK1-0" w:eastAsia="FZFSK--GBK1-0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尊敬的客户：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为向广大投资者提供更丰富的理财产品、更优质的理财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服务，我行已与渝农商理财有限责任公司建立代销合作关系，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现将截至2021年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日我行代理销售理财产品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的发行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机构名单公告如下：</w:t>
      </w:r>
    </w:p>
    <w:tbl>
      <w:tblPr>
        <w:tblStyle w:val="3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7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序号</w:t>
            </w:r>
          </w:p>
        </w:tc>
        <w:tc>
          <w:tcPr>
            <w:tcW w:w="7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渝农商理财有限责任公司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具体代销的理财产品详见平潭渝农商村镇银行官网、渝农商理财官网（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instrText xml:space="preserve"> HYPERLINK "http://wm.cqrcb.com/cn/disclosure/xxcpgg/fxgg/index.html" </w:instrTex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http://wm.cqrcb.com/cn/disclosure/xxcpgg/fxgg/index.html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）。投资者也可依据理财产品登记编码在中国理财网（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instrText xml:space="preserve"> HYPERLINK "C:/Program%20Files%20(x86)/eSpace_Desktop/eSpaceIM_IE/100dpi/pages/www.chinawealth.com.cn" </w:instrTex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www.chinawealth.com.cn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）查询相关产品信息。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3200" w:firstLineChars="10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3200" w:firstLineChars="10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福建平潭渝农商村镇银行有限责任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日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C2022FB"/>
    <w:rsid w:val="5A4A28BD"/>
    <w:rsid w:val="7859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2023-10-08T03:58:00Z</dcterms:created>
  <dc:creator>丁廷飞</dc:creator>
  <cp:lastModifiedBy>小明同学</cp:lastModifiedBy>
  <cp:lastPrinted>2023-10-08T04:05:00Z</cp:lastPrinted>
  <dcterms:modified xsi:type="dcterms:W3CDTF">2023-11-03T03:38:38Z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