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E79" w:rsidRDefault="00C9163B">
      <w:pPr>
        <w:spacing w:line="360" w:lineRule="auto"/>
        <w:rPr>
          <w:rFonts w:ascii="Times New Roman" w:eastAsia="方正仿宋_GBK" w:hAnsi="Times New Roman" w:cs="Times New Roman"/>
          <w:sz w:val="32"/>
          <w:szCs w:val="32"/>
        </w:rPr>
      </w:pPr>
      <w:r>
        <w:rPr>
          <w:rFonts w:ascii="方正小标宋_GBK" w:eastAsia="方正小标宋_GBK" w:hAnsi="方正小标宋_GBK" w:cs="方正小标宋_GBK" w:hint="eastAsia"/>
          <w:b/>
          <w:color w:val="000000"/>
          <w:kern w:val="0"/>
          <w:sz w:val="44"/>
          <w:szCs w:val="44"/>
        </w:rPr>
        <w:t>关于部分理财产品变更产品管理人的公告</w:t>
      </w:r>
    </w:p>
    <w:p w:rsidR="00A72E79" w:rsidRDefault="00C9163B">
      <w:pPr>
        <w:spacing w:line="360" w:lineRule="auto"/>
        <w:rPr>
          <w:rFonts w:ascii="Times New Roman" w:eastAsia="方正仿宋_GBK" w:hAnsi="Times New Roman" w:cs="Times New Roman"/>
          <w:sz w:val="32"/>
          <w:szCs w:val="32"/>
        </w:rPr>
      </w:pPr>
      <w:r>
        <w:rPr>
          <w:rFonts w:ascii="Times New Roman" w:eastAsia="方正仿宋_GBK" w:hAnsi="Times New Roman" w:cs="Times New Roman"/>
          <w:sz w:val="32"/>
          <w:szCs w:val="32"/>
        </w:rPr>
        <w:t>尊敬的投资者：</w:t>
      </w:r>
    </w:p>
    <w:p w:rsidR="00A72E79" w:rsidRDefault="00C9163B">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您好！</w:t>
      </w:r>
    </w:p>
    <w:p w:rsidR="00A72E79" w:rsidRDefault="00C9163B">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根据《关于规范金融机构资产管理业务的指导意见》《商业银行理财业务监督管理办法》《商业银行理财子公司管理办法》</w:t>
      </w:r>
      <w:r>
        <w:rPr>
          <w:rFonts w:ascii="Times New Roman" w:eastAsia="方正仿宋_GBK" w:hAnsi="Times New Roman" w:cs="Times New Roman" w:hint="eastAsia"/>
          <w:sz w:val="32"/>
          <w:szCs w:val="32"/>
        </w:rPr>
        <w:t>及相关规定</w:t>
      </w:r>
      <w:r>
        <w:rPr>
          <w:rFonts w:ascii="Times New Roman" w:eastAsia="方正仿宋_GBK" w:hAnsi="Times New Roman" w:cs="Times New Roman"/>
          <w:sz w:val="32"/>
          <w:szCs w:val="32"/>
        </w:rPr>
        <w:t>，重庆农村商业银行股份有限公司设立了渝农商理财有限责任公司。渝农商理财有限责任公司于</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月底成立，作为重庆农村商业银行股份有限公司全资子公司，专业从事理财产品发行、投资管理、理财顾问和咨询等相关业务。为明确理财产品划转的相关安排，保护投资者合法权益，现公告如下：</w:t>
      </w:r>
    </w:p>
    <w:p w:rsidR="00A72E79" w:rsidRDefault="00C9163B">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保障理财业务平稳、合规、健康地发展，重庆农村商业银行股份有限公司拟将部分前期发行的理财产品分批有序地划转至渝农商理财有限责任公司管理。产品管理人的政策性变更与相应产品划转，不会对产品投资运作产生实质性影响。</w:t>
      </w:r>
    </w:p>
    <w:p w:rsidR="00A72E79" w:rsidRDefault="00C9163B">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第一批划转理财产品（具体划转产品清单详见附件）将于</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日（划转当日）划转至渝农商理财有限责任公司管理。该批划转理财产品完成划转后，所对应的理财产品协议书</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产品说明书、风险揭示书和客户权益须知</w:t>
      </w:r>
      <w:r>
        <w:rPr>
          <w:rFonts w:ascii="Times New Roman" w:eastAsia="方正仿宋_GBK" w:hAnsi="Times New Roman" w:cs="Times New Roman" w:hint="eastAsia"/>
          <w:sz w:val="32"/>
          <w:szCs w:val="32"/>
        </w:rPr>
        <w:t>等销售文件将一并更新，其</w:t>
      </w:r>
      <w:r>
        <w:rPr>
          <w:rFonts w:ascii="Times New Roman" w:eastAsia="方正仿宋_GBK" w:hAnsi="Times New Roman" w:cs="Times New Roman"/>
          <w:sz w:val="32"/>
          <w:szCs w:val="32"/>
        </w:rPr>
        <w:t>项下由重庆农村商业银行股份有限公</w:t>
      </w:r>
      <w:r>
        <w:rPr>
          <w:rFonts w:ascii="Times New Roman" w:eastAsia="方正仿宋_GBK" w:hAnsi="Times New Roman" w:cs="Times New Roman"/>
          <w:sz w:val="32"/>
          <w:szCs w:val="32"/>
        </w:rPr>
        <w:lastRenderedPageBreak/>
        <w:t>司作为理财产品管理人享有的权利和承担的义务</w:t>
      </w:r>
      <w:r>
        <w:rPr>
          <w:rFonts w:ascii="Times New Roman" w:eastAsia="方正仿宋_GBK" w:hAnsi="Times New Roman" w:cs="Times New Roman"/>
          <w:sz w:val="32"/>
          <w:szCs w:val="32"/>
        </w:rPr>
        <w:t>，将于划转当日自动、全部转由渝农商理财有限责任公司承继，理财产品管理人相应变更为渝农商理财有限责任公司。</w:t>
      </w:r>
    </w:p>
    <w:p w:rsidR="00A72E79" w:rsidRDefault="00C9163B">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在理财产品划转过程中，渝农商理财有限责任公司将切实履行理财产品登记手续，投资者可在中国理财网上查询到相关产品信息，划转后产品在全国银行业理财信息登记系统中的募集起始日期、募集结束日期、产品起始日期将显示为划转当日</w:t>
      </w:r>
      <w:r>
        <w:rPr>
          <w:rFonts w:ascii="Times New Roman" w:eastAsia="方正仿宋_GBK" w:hAnsi="Times New Roman" w:cs="Times New Roman" w:hint="eastAsia"/>
          <w:sz w:val="32"/>
          <w:szCs w:val="32"/>
        </w:rPr>
        <w:t>，</w:t>
      </w:r>
      <w:bookmarkStart w:id="0" w:name="_Hlk71891103"/>
      <w:r>
        <w:rPr>
          <w:rFonts w:ascii="Times New Roman" w:eastAsia="方正仿宋_GBK" w:hAnsi="Times New Roman" w:cs="Times New Roman" w:hint="eastAsia"/>
          <w:sz w:val="32"/>
          <w:szCs w:val="32"/>
        </w:rPr>
        <w:t>但产品的实际起始日和存续期限不受该等变更影响</w:t>
      </w:r>
      <w:bookmarkEnd w:id="0"/>
      <w:r>
        <w:rPr>
          <w:rFonts w:ascii="Times New Roman" w:eastAsia="方正仿宋_GBK" w:hAnsi="Times New Roman" w:cs="Times New Roman"/>
          <w:sz w:val="32"/>
          <w:szCs w:val="32"/>
        </w:rPr>
        <w:t>。为了充分保障投资者利益与投资安全，渝农商理财有限责任公司将自动为划转产品的持有客户开立份额登记账户。</w:t>
      </w:r>
    </w:p>
    <w:p w:rsidR="00A72E79" w:rsidRDefault="00C9163B">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如您无法同意并接受产品管理人变更，可以在</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10</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00</w:t>
      </w:r>
      <w:r>
        <w:rPr>
          <w:rFonts w:ascii="Times New Roman" w:eastAsia="方正仿宋_GBK" w:hAnsi="Times New Roman" w:cs="Times New Roman"/>
          <w:sz w:val="32"/>
          <w:szCs w:val="32"/>
        </w:rPr>
        <w:t>（不含）之前全部赎回所持产品份额。为充分</w:t>
      </w:r>
      <w:r>
        <w:rPr>
          <w:rFonts w:ascii="Times New Roman" w:eastAsia="方正仿宋_GBK" w:hAnsi="Times New Roman" w:cs="Times New Roman" w:hint="eastAsia"/>
          <w:sz w:val="32"/>
          <w:szCs w:val="32"/>
        </w:rPr>
        <w:t>保障</w:t>
      </w:r>
      <w:r>
        <w:rPr>
          <w:rFonts w:ascii="Times New Roman" w:eastAsia="方正仿宋_GBK" w:hAnsi="Times New Roman" w:cs="Times New Roman"/>
          <w:sz w:val="32"/>
          <w:szCs w:val="32"/>
        </w:rPr>
        <w:t>投资者权益，保证本次产品划转的稳定性，</w:t>
      </w:r>
      <w:r>
        <w:rPr>
          <w:rFonts w:ascii="Times New Roman" w:eastAsia="方正仿宋_GBK" w:hAnsi="Times New Roman" w:cs="Times New Roman" w:hint="eastAsia"/>
          <w:sz w:val="32"/>
          <w:szCs w:val="32"/>
        </w:rPr>
        <w:t>本产品将于</w:t>
      </w:r>
      <w:r>
        <w:rPr>
          <w:rFonts w:ascii="Times New Roman" w:eastAsia="方正仿宋_GBK" w:hAnsi="Times New Roman" w:cs="Times New Roman"/>
          <w:sz w:val="32"/>
          <w:szCs w:val="32"/>
        </w:rPr>
        <w:t>2021</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10</w:t>
      </w:r>
      <w:r>
        <w:rPr>
          <w:rFonts w:ascii="Times New Roman" w:eastAsia="方正仿宋_GBK" w:hAnsi="Times New Roman" w:cs="Times New Roman" w:hint="eastAsia"/>
          <w:sz w:val="32"/>
          <w:szCs w:val="32"/>
        </w:rPr>
        <w:t>日</w:t>
      </w:r>
      <w:r>
        <w:rPr>
          <w:rFonts w:ascii="Times New Roman" w:eastAsia="方正仿宋_GBK" w:hAnsi="Times New Roman" w:cs="Times New Roman"/>
          <w:sz w:val="32"/>
          <w:szCs w:val="32"/>
        </w:rPr>
        <w:t>15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00</w:t>
      </w:r>
      <w:r>
        <w:rPr>
          <w:rFonts w:ascii="Times New Roman" w:eastAsia="方正仿宋_GBK" w:hAnsi="Times New Roman" w:cs="Times New Roman" w:hint="eastAsia"/>
          <w:sz w:val="32"/>
          <w:szCs w:val="32"/>
        </w:rPr>
        <w:t>起两个工作日及端午节假期暂停申购申请及赎回申请</w:t>
      </w:r>
      <w:r>
        <w:rPr>
          <w:rFonts w:ascii="Times New Roman" w:eastAsia="方正仿宋_GBK" w:hAnsi="Times New Roman" w:cs="Times New Roman"/>
          <w:sz w:val="32"/>
          <w:szCs w:val="32"/>
        </w:rPr>
        <w:t>，请您提前做好安排。</w:t>
      </w:r>
    </w:p>
    <w:p w:rsidR="00A72E79" w:rsidRDefault="00C9163B">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产品划转后，渝农商理财有限责任公司将本着勤勉尽职的原则持续为投资者提供专业的理财服务，重庆农村商业银行股份有限公司将作为产品代销机构，继续为投资者提供全面专业的财富管理服务。如投资者对产品管理人变更有疑问，可详询重庆农村商业银行股份有限公司各营业网点或通过电话方式咨询</w:t>
      </w:r>
      <w:r>
        <w:rPr>
          <w:rFonts w:ascii="Times New Roman" w:eastAsia="方正仿宋_GBK" w:hAnsi="Times New Roman" w:cs="Times New Roman"/>
          <w:sz w:val="32"/>
          <w:szCs w:val="32"/>
        </w:rPr>
        <w:t>95389</w:t>
      </w:r>
      <w:r>
        <w:rPr>
          <w:rFonts w:ascii="Times New Roman" w:eastAsia="方正仿宋_GBK" w:hAnsi="Times New Roman" w:cs="Times New Roman"/>
          <w:sz w:val="32"/>
          <w:szCs w:val="32"/>
        </w:rPr>
        <w:t>。</w:t>
      </w:r>
    </w:p>
    <w:p w:rsidR="00A72E79" w:rsidRDefault="00C9163B">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特此公告。</w:t>
      </w:r>
    </w:p>
    <w:p w:rsidR="00A72E79" w:rsidRDefault="00C9163B">
      <w:pPr>
        <w:spacing w:line="360" w:lineRule="auto"/>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 </w:t>
      </w:r>
    </w:p>
    <w:p w:rsidR="00A72E79" w:rsidRDefault="00C9163B">
      <w:pPr>
        <w:spacing w:line="360" w:lineRule="auto"/>
        <w:rPr>
          <w:rFonts w:ascii="Times New Roman" w:eastAsia="方正仿宋_GBK" w:hAnsi="Times New Roman" w:cs="Times New Roman"/>
          <w:sz w:val="32"/>
          <w:szCs w:val="32"/>
        </w:rPr>
      </w:pPr>
      <w:r>
        <w:rPr>
          <w:rFonts w:ascii="Times New Roman" w:eastAsia="方正仿宋_GBK" w:hAnsi="Times New Roman" w:cs="Times New Roman"/>
          <w:sz w:val="32"/>
          <w:szCs w:val="32"/>
        </w:rPr>
        <w:t>附件：划转产品清单（第一批）</w:t>
      </w:r>
    </w:p>
    <w:tbl>
      <w:tblPr>
        <w:tblW w:w="10093" w:type="dxa"/>
        <w:jc w:val="center"/>
        <w:tblCellSpacing w:w="0" w:type="dxa"/>
        <w:tblLayout w:type="fixed"/>
        <w:tblCellMar>
          <w:left w:w="0" w:type="dxa"/>
          <w:right w:w="0" w:type="dxa"/>
        </w:tblCellMar>
        <w:tblLook w:val="04A0"/>
      </w:tblPr>
      <w:tblGrid>
        <w:gridCol w:w="524"/>
        <w:gridCol w:w="1928"/>
        <w:gridCol w:w="1650"/>
        <w:gridCol w:w="1560"/>
        <w:gridCol w:w="1508"/>
        <w:gridCol w:w="993"/>
        <w:gridCol w:w="1930"/>
      </w:tblGrid>
      <w:tr w:rsidR="00A72E79">
        <w:trPr>
          <w:trHeight w:val="1124"/>
          <w:tblCellSpacing w:w="0" w:type="dxa"/>
          <w:jc w:val="center"/>
        </w:trPr>
        <w:tc>
          <w:tcPr>
            <w:tcW w:w="524"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序号</w:t>
            </w:r>
          </w:p>
        </w:tc>
        <w:tc>
          <w:tcPr>
            <w:tcW w:w="1928" w:type="dxa"/>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拟划转产品名称</w:t>
            </w:r>
          </w:p>
        </w:tc>
        <w:tc>
          <w:tcPr>
            <w:tcW w:w="1650" w:type="dxa"/>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理财产品销售代码</w:t>
            </w:r>
          </w:p>
        </w:tc>
        <w:tc>
          <w:tcPr>
            <w:tcW w:w="1560" w:type="dxa"/>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jc w:val="center"/>
              <w:rPr>
                <w:rFonts w:ascii="Times New Roman" w:eastAsia="方正仿宋_GBK" w:hAnsi="Times New Roman" w:cs="Times New Roman"/>
                <w:sz w:val="28"/>
                <w:szCs w:val="28"/>
              </w:rPr>
            </w:pPr>
            <w:bookmarkStart w:id="1" w:name="_Hlk71891764"/>
            <w:r>
              <w:rPr>
                <w:rFonts w:ascii="Times New Roman" w:eastAsia="方正仿宋_GBK" w:hAnsi="Times New Roman" w:cs="Times New Roman"/>
                <w:sz w:val="28"/>
                <w:szCs w:val="28"/>
              </w:rPr>
              <w:t>产品登记编码</w:t>
            </w:r>
          </w:p>
          <w:p w:rsidR="00A72E79" w:rsidRDefault="00C9163B">
            <w:pPr>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hint="eastAsia"/>
                <w:sz w:val="28"/>
                <w:szCs w:val="28"/>
              </w:rPr>
              <w:t>划转前</w:t>
            </w:r>
            <w:r>
              <w:rPr>
                <w:rFonts w:ascii="Times New Roman" w:eastAsia="方正仿宋_GBK" w:hAnsi="Times New Roman" w:cs="Times New Roman"/>
                <w:sz w:val="28"/>
                <w:szCs w:val="28"/>
              </w:rPr>
              <w:t>）</w:t>
            </w:r>
            <w:bookmarkEnd w:id="1"/>
          </w:p>
        </w:tc>
        <w:tc>
          <w:tcPr>
            <w:tcW w:w="1508" w:type="dxa"/>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jc w:val="center"/>
              <w:rPr>
                <w:rFonts w:ascii="Times New Roman" w:eastAsia="方正仿宋_GBK" w:hAnsi="Times New Roman" w:cs="Times New Roman"/>
                <w:sz w:val="28"/>
                <w:szCs w:val="28"/>
              </w:rPr>
            </w:pPr>
            <w:bookmarkStart w:id="2" w:name="_Hlk71891775"/>
            <w:r>
              <w:rPr>
                <w:rFonts w:ascii="Times New Roman" w:eastAsia="方正仿宋_GBK" w:hAnsi="Times New Roman" w:cs="Times New Roman"/>
                <w:sz w:val="28"/>
                <w:szCs w:val="28"/>
              </w:rPr>
              <w:t>产品登记编码</w:t>
            </w:r>
          </w:p>
          <w:p w:rsidR="00A72E79" w:rsidRDefault="00C9163B">
            <w:pPr>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hint="eastAsia"/>
                <w:sz w:val="28"/>
                <w:szCs w:val="28"/>
              </w:rPr>
              <w:t>划转后</w:t>
            </w:r>
            <w:r>
              <w:rPr>
                <w:rFonts w:ascii="Times New Roman" w:eastAsia="方正仿宋_GBK" w:hAnsi="Times New Roman" w:cs="Times New Roman"/>
                <w:sz w:val="28"/>
                <w:szCs w:val="28"/>
              </w:rPr>
              <w:t>）</w:t>
            </w:r>
            <w:bookmarkEnd w:id="2"/>
          </w:p>
        </w:tc>
        <w:tc>
          <w:tcPr>
            <w:tcW w:w="993" w:type="dxa"/>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运作模式</w:t>
            </w:r>
          </w:p>
        </w:tc>
        <w:tc>
          <w:tcPr>
            <w:tcW w:w="1930" w:type="dxa"/>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划转日期</w:t>
            </w:r>
          </w:p>
        </w:tc>
      </w:tr>
      <w:tr w:rsidR="00A72E79">
        <w:trPr>
          <w:trHeight w:val="2213"/>
          <w:tblCellSpacing w:w="0" w:type="dxa"/>
          <w:jc w:val="center"/>
        </w:trPr>
        <w:tc>
          <w:tcPr>
            <w:tcW w:w="524"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rPr>
                <w:rFonts w:ascii="Times New Roman" w:eastAsia="方正仿宋_GBK" w:hAnsi="Times New Roman" w:cs="Times New Roman"/>
                <w:szCs w:val="21"/>
              </w:rPr>
            </w:pPr>
            <w:r>
              <w:rPr>
                <w:rFonts w:ascii="Times New Roman" w:eastAsia="方正仿宋_GBK" w:hAnsi="Times New Roman" w:cs="Times New Roman"/>
                <w:szCs w:val="21"/>
              </w:rPr>
              <w:t>1</w:t>
            </w:r>
          </w:p>
        </w:tc>
        <w:tc>
          <w:tcPr>
            <w:tcW w:w="1928" w:type="dxa"/>
            <w:tcBorders>
              <w:top w:val="nil"/>
              <w:left w:val="nil"/>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jc w:val="center"/>
              <w:rPr>
                <w:rFonts w:ascii="Times New Roman" w:eastAsia="方正仿宋_GBK" w:hAnsi="Times New Roman" w:cs="Times New Roman"/>
                <w:szCs w:val="21"/>
              </w:rPr>
            </w:pPr>
            <w:r>
              <w:rPr>
                <w:rFonts w:ascii="Times New Roman" w:eastAsia="方正仿宋_GBK" w:hAnsi="Times New Roman" w:cs="Times New Roman"/>
                <w:szCs w:val="21"/>
              </w:rPr>
              <w:t>江渝财富</w:t>
            </w:r>
            <w:r>
              <w:rPr>
                <w:rFonts w:ascii="Times New Roman" w:eastAsia="方正仿宋_GBK" w:hAnsi="Times New Roman" w:cs="Times New Roman"/>
                <w:szCs w:val="21"/>
              </w:rPr>
              <w:t>“</w:t>
            </w:r>
            <w:r>
              <w:rPr>
                <w:rFonts w:ascii="Times New Roman" w:eastAsia="方正仿宋_GBK" w:hAnsi="Times New Roman" w:cs="Times New Roman"/>
                <w:szCs w:val="21"/>
              </w:rPr>
              <w:t>天添金</w:t>
            </w:r>
            <w:r>
              <w:rPr>
                <w:rFonts w:ascii="Times New Roman" w:eastAsia="方正仿宋_GBK" w:hAnsi="Times New Roman" w:cs="Times New Roman"/>
                <w:szCs w:val="21"/>
              </w:rPr>
              <w:t>”</w:t>
            </w:r>
            <w:r>
              <w:rPr>
                <w:rFonts w:ascii="Times New Roman" w:eastAsia="方正仿宋_GBK" w:hAnsi="Times New Roman" w:cs="Times New Roman"/>
                <w:szCs w:val="21"/>
              </w:rPr>
              <w:t>渝快宝公募开放式理财产品</w:t>
            </w:r>
          </w:p>
        </w:tc>
        <w:tc>
          <w:tcPr>
            <w:tcW w:w="1650" w:type="dxa"/>
            <w:tcBorders>
              <w:top w:val="nil"/>
              <w:left w:val="nil"/>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jc w:val="center"/>
              <w:rPr>
                <w:rFonts w:ascii="Times New Roman" w:eastAsia="方正仿宋_GBK" w:hAnsi="Times New Roman" w:cs="Times New Roman"/>
                <w:szCs w:val="21"/>
              </w:rPr>
            </w:pPr>
            <w:r>
              <w:rPr>
                <w:rFonts w:ascii="Times New Roman" w:eastAsia="方正仿宋_GBK" w:hAnsi="Times New Roman" w:cs="Times New Roman"/>
                <w:szCs w:val="21"/>
              </w:rPr>
              <w:t>12019001YKB</w:t>
            </w:r>
          </w:p>
        </w:tc>
        <w:tc>
          <w:tcPr>
            <w:tcW w:w="1560" w:type="dxa"/>
            <w:tcBorders>
              <w:top w:val="nil"/>
              <w:left w:val="nil"/>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jc w:val="center"/>
              <w:rPr>
                <w:rFonts w:ascii="Times New Roman" w:eastAsia="方正仿宋_GBK" w:hAnsi="Times New Roman" w:cs="Times New Roman"/>
                <w:szCs w:val="21"/>
              </w:rPr>
            </w:pPr>
            <w:r>
              <w:rPr>
                <w:rFonts w:ascii="Times New Roman" w:eastAsia="方正仿宋_GBK" w:hAnsi="Times New Roman" w:cs="Times New Roman"/>
                <w:szCs w:val="21"/>
              </w:rPr>
              <w:t>C1126719000081</w:t>
            </w:r>
          </w:p>
        </w:tc>
        <w:tc>
          <w:tcPr>
            <w:tcW w:w="1508" w:type="dxa"/>
            <w:tcBorders>
              <w:top w:val="nil"/>
              <w:left w:val="nil"/>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后续迁移前发布</w:t>
            </w:r>
            <w:bookmarkStart w:id="3" w:name="_GoBack"/>
            <w:bookmarkEnd w:id="3"/>
          </w:p>
        </w:tc>
        <w:tc>
          <w:tcPr>
            <w:tcW w:w="993" w:type="dxa"/>
            <w:tcBorders>
              <w:top w:val="nil"/>
              <w:left w:val="nil"/>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jc w:val="center"/>
              <w:rPr>
                <w:rFonts w:ascii="Times New Roman" w:eastAsia="方正仿宋_GBK" w:hAnsi="Times New Roman" w:cs="Times New Roman"/>
                <w:szCs w:val="21"/>
              </w:rPr>
            </w:pPr>
            <w:r>
              <w:rPr>
                <w:rFonts w:ascii="Times New Roman" w:eastAsia="方正仿宋_GBK" w:hAnsi="Times New Roman" w:cs="Times New Roman"/>
                <w:szCs w:val="21"/>
              </w:rPr>
              <w:t>开放式</w:t>
            </w:r>
          </w:p>
        </w:tc>
        <w:tc>
          <w:tcPr>
            <w:tcW w:w="1930" w:type="dxa"/>
            <w:tcBorders>
              <w:top w:val="nil"/>
              <w:left w:val="nil"/>
              <w:bottom w:val="single" w:sz="6" w:space="0" w:color="000000"/>
              <w:right w:val="single" w:sz="6" w:space="0" w:color="000000"/>
            </w:tcBorders>
            <w:shd w:val="clear" w:color="auto" w:fill="auto"/>
            <w:tcMar>
              <w:left w:w="105" w:type="dxa"/>
              <w:right w:w="105" w:type="dxa"/>
            </w:tcMar>
            <w:vAlign w:val="center"/>
          </w:tcPr>
          <w:p w:rsidR="00A72E79" w:rsidRDefault="00C9163B">
            <w:pPr>
              <w:spacing w:line="360" w:lineRule="auto"/>
              <w:jc w:val="center"/>
              <w:rPr>
                <w:rFonts w:ascii="Times New Roman" w:eastAsia="方正仿宋_GBK" w:hAnsi="Times New Roman" w:cs="Times New Roman"/>
                <w:szCs w:val="21"/>
              </w:rPr>
            </w:pPr>
            <w:r>
              <w:rPr>
                <w:rFonts w:ascii="Times New Roman" w:eastAsia="方正仿宋_GBK" w:hAnsi="Times New Roman" w:cs="Times New Roman"/>
                <w:szCs w:val="21"/>
              </w:rPr>
              <w:t>2021</w:t>
            </w:r>
            <w:r>
              <w:rPr>
                <w:rFonts w:ascii="Times New Roman" w:eastAsia="方正仿宋_GBK" w:hAnsi="Times New Roman" w:cs="Times New Roman"/>
                <w:szCs w:val="21"/>
              </w:rPr>
              <w:t>年</w:t>
            </w:r>
            <w:r>
              <w:rPr>
                <w:rFonts w:ascii="Times New Roman" w:eastAsia="方正仿宋_GBK" w:hAnsi="Times New Roman" w:cs="Times New Roman"/>
                <w:szCs w:val="21"/>
              </w:rPr>
              <w:t>6</w:t>
            </w:r>
            <w:r>
              <w:rPr>
                <w:rFonts w:ascii="Times New Roman" w:eastAsia="方正仿宋_GBK" w:hAnsi="Times New Roman" w:cs="Times New Roman"/>
                <w:szCs w:val="21"/>
              </w:rPr>
              <w:t>月</w:t>
            </w:r>
            <w:r>
              <w:rPr>
                <w:rFonts w:ascii="Times New Roman" w:eastAsia="方正仿宋_GBK" w:hAnsi="Times New Roman" w:cs="Times New Roman"/>
                <w:szCs w:val="21"/>
              </w:rPr>
              <w:t>12</w:t>
            </w:r>
            <w:r>
              <w:rPr>
                <w:rFonts w:ascii="Times New Roman" w:eastAsia="方正仿宋_GBK" w:hAnsi="Times New Roman" w:cs="Times New Roman"/>
                <w:szCs w:val="21"/>
              </w:rPr>
              <w:t>日</w:t>
            </w:r>
          </w:p>
        </w:tc>
      </w:tr>
    </w:tbl>
    <w:p w:rsidR="00A72E79" w:rsidRDefault="00C9163B">
      <w:pPr>
        <w:spacing w:line="360" w:lineRule="auto"/>
        <w:rPr>
          <w:rFonts w:ascii="Times New Roman" w:eastAsia="方正仿宋_GBK" w:hAnsi="Times New Roman" w:cs="Times New Roman"/>
          <w:sz w:val="32"/>
          <w:szCs w:val="32"/>
        </w:rPr>
      </w:pPr>
      <w:r>
        <w:rPr>
          <w:rFonts w:ascii="Times New Roman" w:eastAsia="方正仿宋_GBK" w:hAnsi="Times New Roman" w:cs="Times New Roman"/>
          <w:sz w:val="32"/>
          <w:szCs w:val="32"/>
        </w:rPr>
        <w:t> </w:t>
      </w:r>
    </w:p>
    <w:p w:rsidR="00A72E79" w:rsidRDefault="00C9163B">
      <w:pPr>
        <w:spacing w:line="360" w:lineRule="auto"/>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重庆农村商业银行股份有限公司</w:t>
      </w:r>
    </w:p>
    <w:p w:rsidR="00A72E79" w:rsidRDefault="00C9163B">
      <w:pPr>
        <w:spacing w:line="360" w:lineRule="auto"/>
        <w:ind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渝农商理财有限责任公司</w:t>
      </w:r>
    </w:p>
    <w:p w:rsidR="00A72E79" w:rsidRDefault="00C9163B">
      <w:pPr>
        <w:spacing w:line="360" w:lineRule="auto"/>
        <w:ind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w:t>
      </w:r>
    </w:p>
    <w:sectPr w:rsidR="00A72E79" w:rsidSect="00A72E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63B" w:rsidRDefault="00C9163B" w:rsidP="00B77601">
      <w:r>
        <w:separator/>
      </w:r>
    </w:p>
  </w:endnote>
  <w:endnote w:type="continuationSeparator" w:id="0">
    <w:p w:rsidR="00C9163B" w:rsidRDefault="00C9163B" w:rsidP="00B77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63B" w:rsidRDefault="00C9163B" w:rsidP="00B77601">
      <w:r>
        <w:separator/>
      </w:r>
    </w:p>
  </w:footnote>
  <w:footnote w:type="continuationSeparator" w:id="0">
    <w:p w:rsidR="00C9163B" w:rsidRDefault="00C9163B" w:rsidP="00B7760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飞">
    <w15:presenceInfo w15:providerId="WPS Office" w15:userId="27551508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15327"/>
    <w:rsid w:val="000B5F6E"/>
    <w:rsid w:val="000E615D"/>
    <w:rsid w:val="00117015"/>
    <w:rsid w:val="002E3176"/>
    <w:rsid w:val="003A7FD6"/>
    <w:rsid w:val="00417665"/>
    <w:rsid w:val="00426666"/>
    <w:rsid w:val="004B69AD"/>
    <w:rsid w:val="0052490C"/>
    <w:rsid w:val="005405C7"/>
    <w:rsid w:val="0081798A"/>
    <w:rsid w:val="008316ED"/>
    <w:rsid w:val="00892088"/>
    <w:rsid w:val="008A39F9"/>
    <w:rsid w:val="00915327"/>
    <w:rsid w:val="00994D82"/>
    <w:rsid w:val="00A72E79"/>
    <w:rsid w:val="00A964F5"/>
    <w:rsid w:val="00B11016"/>
    <w:rsid w:val="00B77601"/>
    <w:rsid w:val="00B86CB8"/>
    <w:rsid w:val="00BA6230"/>
    <w:rsid w:val="00C9163B"/>
    <w:rsid w:val="00FF028D"/>
    <w:rsid w:val="20FA3060"/>
    <w:rsid w:val="2441383D"/>
    <w:rsid w:val="3C1D0060"/>
    <w:rsid w:val="7A4513DE"/>
    <w:rsid w:val="7F2D19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E7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A72E79"/>
    <w:pPr>
      <w:jc w:val="left"/>
    </w:pPr>
  </w:style>
  <w:style w:type="paragraph" w:styleId="a4">
    <w:name w:val="Balloon Text"/>
    <w:basedOn w:val="a"/>
    <w:link w:val="Char0"/>
    <w:rsid w:val="00A72E79"/>
    <w:rPr>
      <w:sz w:val="18"/>
      <w:szCs w:val="18"/>
    </w:rPr>
  </w:style>
  <w:style w:type="paragraph" w:styleId="a5">
    <w:name w:val="footer"/>
    <w:basedOn w:val="a"/>
    <w:link w:val="Char1"/>
    <w:qFormat/>
    <w:rsid w:val="00A72E79"/>
    <w:pPr>
      <w:tabs>
        <w:tab w:val="center" w:pos="4153"/>
        <w:tab w:val="right" w:pos="8306"/>
      </w:tabs>
      <w:snapToGrid w:val="0"/>
      <w:jc w:val="left"/>
    </w:pPr>
    <w:rPr>
      <w:sz w:val="18"/>
      <w:szCs w:val="18"/>
    </w:rPr>
  </w:style>
  <w:style w:type="paragraph" w:styleId="a6">
    <w:name w:val="header"/>
    <w:basedOn w:val="a"/>
    <w:link w:val="Char2"/>
    <w:qFormat/>
    <w:rsid w:val="00A72E79"/>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A72E79"/>
    <w:pPr>
      <w:spacing w:beforeAutospacing="1" w:afterAutospacing="1"/>
      <w:jc w:val="left"/>
    </w:pPr>
    <w:rPr>
      <w:rFonts w:cs="Times New Roman"/>
      <w:kern w:val="0"/>
      <w:sz w:val="24"/>
    </w:rPr>
  </w:style>
  <w:style w:type="paragraph" w:styleId="a8">
    <w:name w:val="annotation subject"/>
    <w:basedOn w:val="a3"/>
    <w:next w:val="a3"/>
    <w:link w:val="Char3"/>
    <w:rsid w:val="00A72E79"/>
    <w:rPr>
      <w:b/>
      <w:bCs/>
    </w:rPr>
  </w:style>
  <w:style w:type="character" w:styleId="a9">
    <w:name w:val="FollowedHyperlink"/>
    <w:basedOn w:val="a0"/>
    <w:rsid w:val="00A72E79"/>
    <w:rPr>
      <w:color w:val="333333"/>
      <w:u w:val="none"/>
    </w:rPr>
  </w:style>
  <w:style w:type="character" w:styleId="aa">
    <w:name w:val="Hyperlink"/>
    <w:basedOn w:val="a0"/>
    <w:rsid w:val="00A72E79"/>
    <w:rPr>
      <w:color w:val="333333"/>
      <w:u w:val="none"/>
    </w:rPr>
  </w:style>
  <w:style w:type="character" w:styleId="ab">
    <w:name w:val="annotation reference"/>
    <w:basedOn w:val="a0"/>
    <w:rsid w:val="00A72E79"/>
    <w:rPr>
      <w:sz w:val="21"/>
      <w:szCs w:val="21"/>
    </w:rPr>
  </w:style>
  <w:style w:type="paragraph" w:customStyle="1" w:styleId="Style6">
    <w:name w:val="_Style 6"/>
    <w:basedOn w:val="a"/>
    <w:next w:val="a"/>
    <w:rsid w:val="00A72E79"/>
    <w:pPr>
      <w:pBdr>
        <w:bottom w:val="single" w:sz="6" w:space="1" w:color="auto"/>
      </w:pBdr>
      <w:jc w:val="center"/>
    </w:pPr>
    <w:rPr>
      <w:rFonts w:ascii="Arial" w:eastAsia="宋体"/>
      <w:vanish/>
      <w:sz w:val="16"/>
    </w:rPr>
  </w:style>
  <w:style w:type="paragraph" w:customStyle="1" w:styleId="Style7">
    <w:name w:val="_Style 7"/>
    <w:basedOn w:val="a"/>
    <w:next w:val="a"/>
    <w:rsid w:val="00A72E79"/>
    <w:pPr>
      <w:pBdr>
        <w:top w:val="single" w:sz="6" w:space="1" w:color="auto"/>
      </w:pBdr>
      <w:jc w:val="center"/>
    </w:pPr>
    <w:rPr>
      <w:rFonts w:ascii="Arial" w:eastAsia="宋体"/>
      <w:vanish/>
      <w:sz w:val="16"/>
    </w:rPr>
  </w:style>
  <w:style w:type="character" w:customStyle="1" w:styleId="Char">
    <w:name w:val="批注文字 Char"/>
    <w:basedOn w:val="a0"/>
    <w:link w:val="a3"/>
    <w:qFormat/>
    <w:rsid w:val="00A72E79"/>
    <w:rPr>
      <w:rFonts w:asciiTheme="minorHAnsi" w:eastAsiaTheme="minorEastAsia" w:hAnsiTheme="minorHAnsi" w:cstheme="minorBidi"/>
      <w:kern w:val="2"/>
      <w:sz w:val="21"/>
      <w:szCs w:val="24"/>
    </w:rPr>
  </w:style>
  <w:style w:type="character" w:customStyle="1" w:styleId="Char3">
    <w:name w:val="批注主题 Char"/>
    <w:basedOn w:val="Char"/>
    <w:link w:val="a8"/>
    <w:rsid w:val="00A72E79"/>
    <w:rPr>
      <w:rFonts w:asciiTheme="minorHAnsi" w:eastAsiaTheme="minorEastAsia" w:hAnsiTheme="minorHAnsi" w:cstheme="minorBidi"/>
      <w:b/>
      <w:bCs/>
      <w:kern w:val="2"/>
      <w:sz w:val="21"/>
      <w:szCs w:val="24"/>
    </w:rPr>
  </w:style>
  <w:style w:type="character" w:customStyle="1" w:styleId="Char0">
    <w:name w:val="批注框文本 Char"/>
    <w:basedOn w:val="a0"/>
    <w:link w:val="a4"/>
    <w:rsid w:val="00A72E79"/>
    <w:rPr>
      <w:rFonts w:asciiTheme="minorHAnsi" w:eastAsiaTheme="minorEastAsia" w:hAnsiTheme="minorHAnsi" w:cstheme="minorBidi"/>
      <w:kern w:val="2"/>
      <w:sz w:val="18"/>
      <w:szCs w:val="18"/>
    </w:rPr>
  </w:style>
  <w:style w:type="character" w:customStyle="1" w:styleId="Char2">
    <w:name w:val="页眉 Char"/>
    <w:basedOn w:val="a0"/>
    <w:link w:val="a6"/>
    <w:qFormat/>
    <w:rsid w:val="00A72E79"/>
    <w:rPr>
      <w:rFonts w:asciiTheme="minorHAnsi" w:eastAsiaTheme="minorEastAsia" w:hAnsiTheme="minorHAnsi" w:cstheme="minorBidi"/>
      <w:kern w:val="2"/>
      <w:sz w:val="18"/>
      <w:szCs w:val="18"/>
    </w:rPr>
  </w:style>
  <w:style w:type="character" w:customStyle="1" w:styleId="Char1">
    <w:name w:val="页脚 Char"/>
    <w:basedOn w:val="a0"/>
    <w:link w:val="a5"/>
    <w:qFormat/>
    <w:rsid w:val="00A72E7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王飞</dc:creator>
  <cp:lastModifiedBy>Judith ZHU</cp:lastModifiedBy>
  <cp:revision>5</cp:revision>
  <dcterms:created xsi:type="dcterms:W3CDTF">2021-05-17T05:45:00Z</dcterms:created>
  <dcterms:modified xsi:type="dcterms:W3CDTF">2021-05-31T10:41:00Z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