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66C6D6DC"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w:t>
      </w:r>
      <w:r w:rsidR="004532F5">
        <w:rPr>
          <w:rFonts w:asciiTheme="minorEastAsia" w:hAnsiTheme="minorEastAsia"/>
          <w:b/>
          <w:sz w:val="32"/>
          <w:szCs w:val="32"/>
        </w:rPr>
        <w:t>6</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31248C66"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EE1856">
              <w:rPr>
                <w:rFonts w:ascii="宋体" w:hAnsi="宋体"/>
                <w:szCs w:val="21"/>
              </w:rPr>
              <w:t>2</w:t>
            </w:r>
            <w:r w:rsidR="004532F5">
              <w:rPr>
                <w:rFonts w:ascii="宋体" w:hAnsi="宋体"/>
                <w:szCs w:val="21"/>
              </w:rPr>
              <w:t>6</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0F827D83"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w:t>
            </w:r>
            <w:r w:rsidR="004532F5">
              <w:rPr>
                <w:rFonts w:ascii="宋体"/>
                <w:szCs w:val="21"/>
              </w:rPr>
              <w:t>6</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07325A7C" w:rsidR="00B27DF9" w:rsidRPr="002148E5" w:rsidRDefault="000D429E" w:rsidP="002148E5">
            <w:pPr>
              <w:widowControl/>
              <w:rPr>
                <w:color w:val="000000"/>
                <w:sz w:val="22"/>
              </w:rPr>
            </w:pPr>
            <w:r w:rsidRPr="000D429E">
              <w:rPr>
                <w:rFonts w:ascii="宋体"/>
                <w:szCs w:val="21"/>
              </w:rPr>
              <w:t>C112671900005</w:t>
            </w:r>
            <w:r w:rsidR="004532F5">
              <w:rPr>
                <w:rFonts w:ascii="宋体"/>
                <w:szCs w:val="21"/>
              </w:rPr>
              <w:t>6</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4AD073C8" w:rsidR="00B27DF9" w:rsidRDefault="004532F5" w:rsidP="00B27DF9">
            <w:pPr>
              <w:rPr>
                <w:rFonts w:asciiTheme="minorEastAsia" w:hAnsiTheme="minorEastAsia"/>
                <w:szCs w:val="21"/>
              </w:rPr>
            </w:pPr>
            <w:r>
              <w:rPr>
                <w:rFonts w:asciiTheme="minorEastAsia" w:hAnsiTheme="minorEastAsia"/>
                <w:szCs w:val="21"/>
              </w:rPr>
              <w:t>280</w:t>
            </w:r>
            <w:r w:rsidR="00A10E41">
              <w:rPr>
                <w:rFonts w:asciiTheme="minorEastAsia" w:hAnsiTheme="minorEastAsia"/>
                <w:szCs w:val="21"/>
              </w:rPr>
              <w:t>,</w:t>
            </w:r>
            <w:r>
              <w:rPr>
                <w:rFonts w:asciiTheme="minorEastAsia" w:hAnsiTheme="minorEastAsia"/>
                <w:szCs w:val="21"/>
              </w:rPr>
              <w:t>847</w:t>
            </w:r>
            <w:r w:rsidR="00A10E41">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7A9DC204" w:rsidR="00B27DF9" w:rsidRDefault="002148E5" w:rsidP="00B27DF9">
            <w:pPr>
              <w:rPr>
                <w:rFonts w:asciiTheme="minorEastAsia" w:hAnsiTheme="minorEastAsia"/>
                <w:szCs w:val="21"/>
              </w:rPr>
            </w:pPr>
            <w:r>
              <w:rPr>
                <w:rFonts w:asciiTheme="minorEastAsia" w:hAnsiTheme="minorEastAsia"/>
                <w:szCs w:val="21"/>
              </w:rPr>
              <w:t>4.</w:t>
            </w:r>
            <w:r w:rsidR="004532F5">
              <w:rPr>
                <w:rFonts w:asciiTheme="minorEastAsia" w:hAnsiTheme="minorEastAsia"/>
                <w:szCs w:val="21"/>
              </w:rPr>
              <w:t>15</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673858B3"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4532F5">
              <w:rPr>
                <w:rFonts w:asciiTheme="minorEastAsia" w:hAnsiTheme="minorEastAsia"/>
                <w:szCs w:val="21"/>
              </w:rPr>
              <w:t>5</w:t>
            </w:r>
            <w:r>
              <w:rPr>
                <w:rFonts w:asciiTheme="minorEastAsia" w:hAnsiTheme="minorEastAsia" w:hint="eastAsia"/>
                <w:szCs w:val="21"/>
              </w:rPr>
              <w:t>月</w:t>
            </w:r>
            <w:r w:rsidR="004532F5">
              <w:rPr>
                <w:rFonts w:asciiTheme="minorEastAsia" w:hAnsiTheme="minorEastAsia"/>
                <w:szCs w:val="21"/>
              </w:rPr>
              <w:t>24</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2D06FECD"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4532F5">
              <w:rPr>
                <w:rFonts w:asciiTheme="minorEastAsia" w:hAnsiTheme="minorEastAsia"/>
                <w:szCs w:val="21"/>
              </w:rPr>
              <w:t>1</w:t>
            </w:r>
            <w:r>
              <w:rPr>
                <w:rFonts w:asciiTheme="minorEastAsia" w:hAnsiTheme="minorEastAsia" w:hint="eastAsia"/>
                <w:szCs w:val="21"/>
              </w:rPr>
              <w:t>月</w:t>
            </w:r>
            <w:r w:rsidR="004532F5">
              <w:rPr>
                <w:rFonts w:asciiTheme="minorEastAsia" w:hAnsiTheme="minorEastAsia"/>
                <w:szCs w:val="21"/>
              </w:rPr>
              <w:t>15</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3992A74A" w:rsidR="00C50920" w:rsidRDefault="00282843" w:rsidP="0035311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85,104,626.47</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63845E45" w:rsidR="00C50920" w:rsidRDefault="00282843"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.0151</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4CE8554B" w:rsidR="00C50920" w:rsidRDefault="00282843"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.0151</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1595832F" w:rsidR="00C50920" w:rsidRDefault="00B05E8F" w:rsidP="00353119">
            <w:pPr>
              <w:jc w:val="center"/>
              <w:rPr>
                <w:rFonts w:asciiTheme="minorEastAsia" w:hAnsiTheme="minorEastAsia"/>
                <w:szCs w:val="21"/>
              </w:rPr>
            </w:pPr>
            <w:r w:rsidRPr="00B05E8F">
              <w:rPr>
                <w:rFonts w:asciiTheme="minorEastAsia" w:hAnsiTheme="minorEastAsia"/>
                <w:szCs w:val="21"/>
              </w:rPr>
              <w:t>239,258,541.77</w:t>
            </w:r>
          </w:p>
        </w:tc>
        <w:tc>
          <w:tcPr>
            <w:tcW w:w="2976" w:type="dxa"/>
          </w:tcPr>
          <w:p w14:paraId="1CA9753A" w14:textId="4166E79B" w:rsidR="00C50920" w:rsidRDefault="00B05E8F" w:rsidP="00353119">
            <w:pPr>
              <w:jc w:val="center"/>
              <w:rPr>
                <w:rFonts w:asciiTheme="minorEastAsia" w:hAnsiTheme="minorEastAsia"/>
                <w:szCs w:val="21"/>
              </w:rPr>
            </w:pPr>
            <w:r>
              <w:rPr>
                <w:rFonts w:asciiTheme="minorEastAsia" w:hAnsiTheme="minorEastAsia" w:hint="eastAsia"/>
                <w:szCs w:val="21"/>
              </w:rPr>
              <w:t>8</w:t>
            </w:r>
            <w:r>
              <w:rPr>
                <w:rFonts w:asciiTheme="minorEastAsia" w:hAnsiTheme="minorEastAsia"/>
                <w:szCs w:val="21"/>
              </w:rPr>
              <w:t>5.19%</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3D64B298" w:rsidR="00EB60CC" w:rsidRDefault="00B05E8F" w:rsidP="00353119">
            <w:pPr>
              <w:jc w:val="center"/>
              <w:rPr>
                <w:rFonts w:asciiTheme="minorEastAsia" w:hAnsiTheme="minorEastAsia"/>
                <w:szCs w:val="21"/>
              </w:rPr>
            </w:pPr>
            <w:r w:rsidRPr="00B05E8F">
              <w:rPr>
                <w:rFonts w:asciiTheme="minorEastAsia" w:hAnsiTheme="minorEastAsia"/>
                <w:szCs w:val="21"/>
              </w:rPr>
              <w:t>41,588,458.23</w:t>
            </w:r>
          </w:p>
        </w:tc>
        <w:tc>
          <w:tcPr>
            <w:tcW w:w="2976" w:type="dxa"/>
          </w:tcPr>
          <w:p w14:paraId="7ECD27A3" w14:textId="2404F3DE" w:rsidR="00EB60CC" w:rsidRDefault="00B05E8F"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4.81%</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624B1FA3" w:rsidR="00C50920" w:rsidRDefault="00B05E8F" w:rsidP="00353119">
            <w:pPr>
              <w:jc w:val="center"/>
              <w:rPr>
                <w:rFonts w:asciiTheme="minorEastAsia" w:hAnsiTheme="minorEastAsia"/>
                <w:szCs w:val="21"/>
              </w:rPr>
            </w:pPr>
            <w:r w:rsidRPr="00B05E8F">
              <w:rPr>
                <w:rFonts w:asciiTheme="minorEastAsia" w:hAnsiTheme="minorEastAsia"/>
                <w:szCs w:val="21"/>
              </w:rPr>
              <w:t>280,847,000.00</w:t>
            </w:r>
          </w:p>
        </w:tc>
        <w:tc>
          <w:tcPr>
            <w:tcW w:w="2976" w:type="dxa"/>
          </w:tcPr>
          <w:p w14:paraId="33F037A0" w14:textId="050BAE28" w:rsidR="00C50920" w:rsidRDefault="00B05E8F"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18440CE8"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844899">
        <w:rPr>
          <w:rFonts w:asciiTheme="minorEastAsia" w:hAnsiTheme="minorEastAsia"/>
          <w:szCs w:val="21"/>
        </w:rPr>
        <w:t>9</w:t>
      </w:r>
      <w:r>
        <w:rPr>
          <w:rFonts w:asciiTheme="minorEastAsia" w:hAnsiTheme="minorEastAsia" w:hint="eastAsia"/>
          <w:szCs w:val="21"/>
        </w:rPr>
        <w:t>月</w:t>
      </w:r>
      <w:r w:rsidR="00E46A42">
        <w:rPr>
          <w:rFonts w:asciiTheme="minorEastAsia" w:hAnsiTheme="minorEastAsia"/>
          <w:szCs w:val="21"/>
        </w:rPr>
        <w:t>3</w:t>
      </w:r>
      <w:r w:rsidR="004870F1">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B05E8F" w14:paraId="483A4095" w14:textId="77777777" w:rsidTr="00353119">
        <w:tc>
          <w:tcPr>
            <w:tcW w:w="704" w:type="dxa"/>
          </w:tcPr>
          <w:p w14:paraId="4EE9030B" w14:textId="77777777" w:rsidR="00B05E8F" w:rsidRPr="007418F7" w:rsidRDefault="00B05E8F" w:rsidP="00B05E8F">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5A641864" w:rsidR="00B05E8F" w:rsidRPr="007418F7" w:rsidRDefault="00B05E8F" w:rsidP="00B05E8F">
            <w:pPr>
              <w:jc w:val="center"/>
              <w:rPr>
                <w:rFonts w:asciiTheme="minorEastAsia" w:hAnsiTheme="minorEastAsia"/>
                <w:szCs w:val="21"/>
              </w:rPr>
            </w:pPr>
            <w:r w:rsidRPr="00C4411C">
              <w:rPr>
                <w:rFonts w:hint="eastAsia"/>
              </w:rPr>
              <w:t>长江联合金融租赁有限公司同业借款</w:t>
            </w:r>
          </w:p>
        </w:tc>
        <w:tc>
          <w:tcPr>
            <w:tcW w:w="2268" w:type="dxa"/>
          </w:tcPr>
          <w:p w14:paraId="4DD77409" w14:textId="4D089D9A"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 xml:space="preserve"> 40,000,000.00 </w:t>
            </w:r>
          </w:p>
        </w:tc>
        <w:tc>
          <w:tcPr>
            <w:tcW w:w="2631" w:type="dxa"/>
          </w:tcPr>
          <w:p w14:paraId="5D8B68A4" w14:textId="5E92FEA6"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14.24%</w:t>
            </w:r>
          </w:p>
        </w:tc>
      </w:tr>
      <w:tr w:rsidR="00B05E8F" w14:paraId="00EFEF50" w14:textId="77777777" w:rsidTr="00353119">
        <w:tc>
          <w:tcPr>
            <w:tcW w:w="704" w:type="dxa"/>
          </w:tcPr>
          <w:p w14:paraId="2FFF8836" w14:textId="2B8C5A55" w:rsidR="00B05E8F" w:rsidRPr="007418F7" w:rsidRDefault="00B05E8F" w:rsidP="00B05E8F">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4840211D" w:rsidR="00B05E8F" w:rsidRPr="007418F7" w:rsidRDefault="00B05E8F" w:rsidP="00B05E8F">
            <w:pPr>
              <w:jc w:val="center"/>
              <w:rPr>
                <w:rFonts w:asciiTheme="minorEastAsia" w:hAnsiTheme="minorEastAsia"/>
                <w:szCs w:val="21"/>
              </w:rPr>
            </w:pPr>
            <w:r w:rsidRPr="00C4411C">
              <w:rPr>
                <w:rFonts w:hint="eastAsia"/>
              </w:rPr>
              <w:t>19</w:t>
            </w:r>
            <w:r w:rsidRPr="00C4411C">
              <w:rPr>
                <w:rFonts w:hint="eastAsia"/>
              </w:rPr>
              <w:t>浦口康居</w:t>
            </w:r>
            <w:r w:rsidRPr="00C4411C">
              <w:rPr>
                <w:rFonts w:hint="eastAsia"/>
              </w:rPr>
              <w:t>GN001</w:t>
            </w:r>
          </w:p>
        </w:tc>
        <w:tc>
          <w:tcPr>
            <w:tcW w:w="2268" w:type="dxa"/>
          </w:tcPr>
          <w:p w14:paraId="5C58D15F" w14:textId="5F432435"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 xml:space="preserve"> 27,563,375.34 </w:t>
            </w:r>
          </w:p>
        </w:tc>
        <w:tc>
          <w:tcPr>
            <w:tcW w:w="2631" w:type="dxa"/>
          </w:tcPr>
          <w:p w14:paraId="566522AB" w14:textId="2DD0FAD1"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9.81%</w:t>
            </w:r>
          </w:p>
        </w:tc>
      </w:tr>
      <w:tr w:rsidR="00B05E8F" w14:paraId="74ABC67A" w14:textId="77777777" w:rsidTr="00353119">
        <w:tc>
          <w:tcPr>
            <w:tcW w:w="704" w:type="dxa"/>
          </w:tcPr>
          <w:p w14:paraId="3B472AC0" w14:textId="4272340A" w:rsidR="00B05E8F" w:rsidRPr="007418F7" w:rsidRDefault="00B05E8F" w:rsidP="00B05E8F">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4532FD8A" w:rsidR="00B05E8F" w:rsidRPr="007418F7" w:rsidRDefault="00B05E8F" w:rsidP="00B05E8F">
            <w:pPr>
              <w:jc w:val="center"/>
              <w:rPr>
                <w:rFonts w:asciiTheme="minorEastAsia" w:hAnsiTheme="minorEastAsia"/>
                <w:szCs w:val="21"/>
              </w:rPr>
            </w:pPr>
            <w:r w:rsidRPr="00C4411C">
              <w:rPr>
                <w:rFonts w:hint="eastAsia"/>
              </w:rPr>
              <w:t>18</w:t>
            </w:r>
            <w:r w:rsidRPr="00C4411C">
              <w:rPr>
                <w:rFonts w:hint="eastAsia"/>
              </w:rPr>
              <w:t>南川城投</w:t>
            </w:r>
            <w:r w:rsidRPr="00C4411C">
              <w:rPr>
                <w:rFonts w:hint="eastAsia"/>
              </w:rPr>
              <w:t>PPN001</w:t>
            </w:r>
          </w:p>
        </w:tc>
        <w:tc>
          <w:tcPr>
            <w:tcW w:w="2268" w:type="dxa"/>
          </w:tcPr>
          <w:p w14:paraId="117652C3" w14:textId="50357A43"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 xml:space="preserve"> 26,966,986.30 </w:t>
            </w:r>
          </w:p>
        </w:tc>
        <w:tc>
          <w:tcPr>
            <w:tcW w:w="2631" w:type="dxa"/>
          </w:tcPr>
          <w:p w14:paraId="0351D02B" w14:textId="55145FD2"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9.60%</w:t>
            </w:r>
          </w:p>
        </w:tc>
      </w:tr>
      <w:tr w:rsidR="00B05E8F" w14:paraId="6AFE886D" w14:textId="77777777" w:rsidTr="00353119">
        <w:tc>
          <w:tcPr>
            <w:tcW w:w="704" w:type="dxa"/>
          </w:tcPr>
          <w:p w14:paraId="6C1283C9" w14:textId="32433036" w:rsidR="00B05E8F" w:rsidRPr="007418F7" w:rsidRDefault="00B05E8F" w:rsidP="00B05E8F">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09ACD19C" w:rsidR="00B05E8F" w:rsidRPr="007418F7" w:rsidRDefault="00B05E8F" w:rsidP="00B05E8F">
            <w:pPr>
              <w:jc w:val="center"/>
              <w:rPr>
                <w:rFonts w:asciiTheme="minorEastAsia" w:hAnsiTheme="minorEastAsia"/>
                <w:szCs w:val="21"/>
              </w:rPr>
            </w:pPr>
            <w:r w:rsidRPr="00C4411C">
              <w:rPr>
                <w:rFonts w:hint="eastAsia"/>
              </w:rPr>
              <w:t>19</w:t>
            </w:r>
            <w:r w:rsidRPr="00C4411C">
              <w:rPr>
                <w:rFonts w:hint="eastAsia"/>
              </w:rPr>
              <w:t>雨花城投</w:t>
            </w:r>
            <w:r w:rsidRPr="00C4411C">
              <w:rPr>
                <w:rFonts w:hint="eastAsia"/>
              </w:rPr>
              <w:t>PPN001</w:t>
            </w:r>
          </w:p>
        </w:tc>
        <w:tc>
          <w:tcPr>
            <w:tcW w:w="2268" w:type="dxa"/>
          </w:tcPr>
          <w:p w14:paraId="1E46CC52" w14:textId="45F20ABD"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 xml:space="preserve"> 25,546,232.88 </w:t>
            </w:r>
          </w:p>
        </w:tc>
        <w:tc>
          <w:tcPr>
            <w:tcW w:w="2631" w:type="dxa"/>
          </w:tcPr>
          <w:p w14:paraId="1D193477" w14:textId="283F73B7"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9.10%</w:t>
            </w:r>
          </w:p>
        </w:tc>
      </w:tr>
      <w:tr w:rsidR="00B05E8F" w14:paraId="511F28C6" w14:textId="77777777" w:rsidTr="00353119">
        <w:tc>
          <w:tcPr>
            <w:tcW w:w="704" w:type="dxa"/>
          </w:tcPr>
          <w:p w14:paraId="3E8E37F4" w14:textId="569D5385" w:rsidR="00B05E8F" w:rsidRPr="007418F7" w:rsidRDefault="00B05E8F" w:rsidP="00B05E8F">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25470B60" w:rsidR="00B05E8F" w:rsidRPr="007418F7" w:rsidRDefault="00B05E8F" w:rsidP="00B05E8F">
            <w:pPr>
              <w:jc w:val="center"/>
              <w:rPr>
                <w:rFonts w:asciiTheme="minorEastAsia" w:hAnsiTheme="minorEastAsia"/>
                <w:szCs w:val="21"/>
              </w:rPr>
            </w:pPr>
            <w:r w:rsidRPr="00C4411C">
              <w:rPr>
                <w:rFonts w:hint="eastAsia"/>
              </w:rPr>
              <w:t>19</w:t>
            </w:r>
            <w:r w:rsidRPr="00C4411C">
              <w:rPr>
                <w:rFonts w:hint="eastAsia"/>
              </w:rPr>
              <w:t>华靖资产</w:t>
            </w:r>
            <w:r w:rsidRPr="00C4411C">
              <w:rPr>
                <w:rFonts w:hint="eastAsia"/>
              </w:rPr>
              <w:t>PPN002</w:t>
            </w:r>
          </w:p>
        </w:tc>
        <w:tc>
          <w:tcPr>
            <w:tcW w:w="2268" w:type="dxa"/>
          </w:tcPr>
          <w:p w14:paraId="7882E0CC" w14:textId="318C17D3"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 xml:space="preserve"> 25,000,000.00 </w:t>
            </w:r>
          </w:p>
        </w:tc>
        <w:tc>
          <w:tcPr>
            <w:tcW w:w="2631" w:type="dxa"/>
          </w:tcPr>
          <w:p w14:paraId="4FF6FB9A" w14:textId="0FCE68EF"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8.90%</w:t>
            </w:r>
          </w:p>
        </w:tc>
      </w:tr>
      <w:tr w:rsidR="00B05E8F" w14:paraId="47CD3E20" w14:textId="77777777" w:rsidTr="00353119">
        <w:tc>
          <w:tcPr>
            <w:tcW w:w="704" w:type="dxa"/>
          </w:tcPr>
          <w:p w14:paraId="29D50832" w14:textId="6C99EF3A" w:rsidR="00B05E8F" w:rsidRPr="007418F7" w:rsidRDefault="00B05E8F" w:rsidP="00B05E8F">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7C9C4D0C" w:rsidR="00B05E8F" w:rsidRPr="007418F7" w:rsidRDefault="00B05E8F" w:rsidP="00B05E8F">
            <w:pPr>
              <w:jc w:val="center"/>
              <w:rPr>
                <w:rFonts w:asciiTheme="minorEastAsia" w:hAnsiTheme="minorEastAsia"/>
                <w:szCs w:val="21"/>
              </w:rPr>
            </w:pPr>
            <w:r w:rsidRPr="00C4411C">
              <w:rPr>
                <w:rFonts w:hint="eastAsia"/>
              </w:rPr>
              <w:t>19</w:t>
            </w:r>
            <w:r w:rsidRPr="00C4411C">
              <w:rPr>
                <w:rFonts w:hint="eastAsia"/>
              </w:rPr>
              <w:t>重庆园业</w:t>
            </w:r>
            <w:r w:rsidRPr="00C4411C">
              <w:rPr>
                <w:rFonts w:hint="eastAsia"/>
              </w:rPr>
              <w:t>PPN001</w:t>
            </w:r>
          </w:p>
        </w:tc>
        <w:tc>
          <w:tcPr>
            <w:tcW w:w="2268" w:type="dxa"/>
          </w:tcPr>
          <w:p w14:paraId="08F20E7C" w14:textId="1344B65B"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 xml:space="preserve"> 24,662,400.00 </w:t>
            </w:r>
          </w:p>
        </w:tc>
        <w:tc>
          <w:tcPr>
            <w:tcW w:w="2631" w:type="dxa"/>
          </w:tcPr>
          <w:p w14:paraId="492266C4" w14:textId="01490323"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8.78%</w:t>
            </w:r>
          </w:p>
        </w:tc>
      </w:tr>
      <w:tr w:rsidR="00B05E8F" w14:paraId="3D18606B" w14:textId="77777777" w:rsidTr="00353119">
        <w:tc>
          <w:tcPr>
            <w:tcW w:w="704" w:type="dxa"/>
          </w:tcPr>
          <w:p w14:paraId="0383B453" w14:textId="687B8312" w:rsidR="00B05E8F" w:rsidRPr="007418F7" w:rsidRDefault="00B05E8F" w:rsidP="00B05E8F">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6909FE40" w:rsidR="00B05E8F" w:rsidRPr="007418F7" w:rsidRDefault="00B05E8F" w:rsidP="00B05E8F">
            <w:pPr>
              <w:jc w:val="center"/>
              <w:rPr>
                <w:rFonts w:asciiTheme="minorEastAsia" w:hAnsiTheme="minorEastAsia"/>
                <w:szCs w:val="21"/>
              </w:rPr>
            </w:pPr>
            <w:r w:rsidRPr="00C4411C">
              <w:rPr>
                <w:rFonts w:hint="eastAsia"/>
              </w:rPr>
              <w:t>19</w:t>
            </w:r>
            <w:r w:rsidRPr="00C4411C">
              <w:rPr>
                <w:rFonts w:hint="eastAsia"/>
              </w:rPr>
              <w:t>淮安国联</w:t>
            </w:r>
            <w:r w:rsidRPr="00C4411C">
              <w:rPr>
                <w:rFonts w:hint="eastAsia"/>
              </w:rPr>
              <w:t>PPN001</w:t>
            </w:r>
          </w:p>
        </w:tc>
        <w:tc>
          <w:tcPr>
            <w:tcW w:w="2268" w:type="dxa"/>
          </w:tcPr>
          <w:p w14:paraId="7AEA0475" w14:textId="3F6BC15B"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 xml:space="preserve"> 24,596,515.07 </w:t>
            </w:r>
          </w:p>
        </w:tc>
        <w:tc>
          <w:tcPr>
            <w:tcW w:w="2631" w:type="dxa"/>
          </w:tcPr>
          <w:p w14:paraId="7EB9E879" w14:textId="23E598C7"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8.76%</w:t>
            </w:r>
          </w:p>
        </w:tc>
      </w:tr>
      <w:tr w:rsidR="00B05E8F" w14:paraId="345492B1" w14:textId="77777777" w:rsidTr="00353119">
        <w:tc>
          <w:tcPr>
            <w:tcW w:w="704" w:type="dxa"/>
          </w:tcPr>
          <w:p w14:paraId="2E7D367F" w14:textId="6720E79D" w:rsidR="00B05E8F" w:rsidRPr="007418F7" w:rsidRDefault="00B05E8F" w:rsidP="00B05E8F">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3A22C02B" w:rsidR="00B05E8F" w:rsidRPr="007418F7" w:rsidRDefault="00B05E8F" w:rsidP="00B05E8F">
            <w:pPr>
              <w:jc w:val="center"/>
              <w:rPr>
                <w:rFonts w:asciiTheme="minorEastAsia" w:hAnsiTheme="minorEastAsia"/>
                <w:szCs w:val="21"/>
              </w:rPr>
            </w:pPr>
            <w:r w:rsidRPr="00C4411C">
              <w:rPr>
                <w:rFonts w:hint="eastAsia"/>
              </w:rPr>
              <w:t>19</w:t>
            </w:r>
            <w:r w:rsidRPr="00C4411C">
              <w:rPr>
                <w:rFonts w:hint="eastAsia"/>
              </w:rPr>
              <w:t>新田投资</w:t>
            </w:r>
            <w:r w:rsidRPr="00C4411C">
              <w:rPr>
                <w:rFonts w:hint="eastAsia"/>
              </w:rPr>
              <w:t>PPN001</w:t>
            </w:r>
          </w:p>
        </w:tc>
        <w:tc>
          <w:tcPr>
            <w:tcW w:w="2268" w:type="dxa"/>
          </w:tcPr>
          <w:p w14:paraId="685279EB" w14:textId="6232FC19"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 xml:space="preserve"> 23,370,898.63 </w:t>
            </w:r>
          </w:p>
        </w:tc>
        <w:tc>
          <w:tcPr>
            <w:tcW w:w="2631" w:type="dxa"/>
          </w:tcPr>
          <w:p w14:paraId="3F1C1B6A" w14:textId="58FE3A0D"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8.32%</w:t>
            </w:r>
          </w:p>
        </w:tc>
      </w:tr>
      <w:tr w:rsidR="00B05E8F" w14:paraId="0E56752F" w14:textId="77777777" w:rsidTr="00353119">
        <w:tc>
          <w:tcPr>
            <w:tcW w:w="704" w:type="dxa"/>
          </w:tcPr>
          <w:p w14:paraId="317507EE" w14:textId="337F71E4" w:rsidR="00B05E8F" w:rsidRPr="007418F7" w:rsidRDefault="00B05E8F" w:rsidP="00B05E8F">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2C05DEF0" w:rsidR="00B05E8F" w:rsidRPr="007418F7" w:rsidRDefault="00B05E8F" w:rsidP="00B05E8F">
            <w:pPr>
              <w:jc w:val="center"/>
              <w:rPr>
                <w:rFonts w:asciiTheme="minorEastAsia" w:hAnsiTheme="minorEastAsia"/>
                <w:szCs w:val="21"/>
              </w:rPr>
            </w:pPr>
            <w:r w:rsidRPr="00C4411C">
              <w:rPr>
                <w:rFonts w:hint="eastAsia"/>
              </w:rPr>
              <w:t>18</w:t>
            </w:r>
            <w:r w:rsidRPr="00C4411C">
              <w:rPr>
                <w:rFonts w:hint="eastAsia"/>
              </w:rPr>
              <w:t>天津农商二级</w:t>
            </w:r>
            <w:r w:rsidRPr="00C4411C">
              <w:rPr>
                <w:rFonts w:hint="eastAsia"/>
              </w:rPr>
              <w:t>01</w:t>
            </w:r>
          </w:p>
        </w:tc>
        <w:tc>
          <w:tcPr>
            <w:tcW w:w="2268" w:type="dxa"/>
          </w:tcPr>
          <w:p w14:paraId="22F94A2D" w14:textId="78466B56"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 xml:space="preserve"> 20,940,767.12 </w:t>
            </w:r>
          </w:p>
        </w:tc>
        <w:tc>
          <w:tcPr>
            <w:tcW w:w="2631" w:type="dxa"/>
          </w:tcPr>
          <w:p w14:paraId="509F679B" w14:textId="4090AD64"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7.46%</w:t>
            </w:r>
          </w:p>
        </w:tc>
      </w:tr>
      <w:tr w:rsidR="00B05E8F" w14:paraId="31C9BF01" w14:textId="77777777" w:rsidTr="00353119">
        <w:tc>
          <w:tcPr>
            <w:tcW w:w="704" w:type="dxa"/>
          </w:tcPr>
          <w:p w14:paraId="1D82D0A1" w14:textId="4963E966" w:rsidR="00B05E8F" w:rsidRPr="007418F7" w:rsidRDefault="00B05E8F" w:rsidP="00B05E8F">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0958A594" w:rsidR="00B05E8F" w:rsidRPr="007418F7" w:rsidRDefault="00B05E8F" w:rsidP="00B05E8F">
            <w:pPr>
              <w:jc w:val="center"/>
              <w:rPr>
                <w:rFonts w:asciiTheme="minorEastAsia" w:hAnsiTheme="minorEastAsia"/>
                <w:szCs w:val="21"/>
              </w:rPr>
            </w:pPr>
            <w:r w:rsidRPr="00C4411C">
              <w:rPr>
                <w:rFonts w:hint="eastAsia"/>
              </w:rPr>
              <w:t>19</w:t>
            </w:r>
            <w:r w:rsidRPr="00C4411C">
              <w:rPr>
                <w:rFonts w:hint="eastAsia"/>
              </w:rPr>
              <w:t>绵阳交通</w:t>
            </w:r>
            <w:r w:rsidRPr="00C4411C">
              <w:rPr>
                <w:rFonts w:hint="eastAsia"/>
              </w:rPr>
              <w:t>PPN001</w:t>
            </w:r>
          </w:p>
        </w:tc>
        <w:tc>
          <w:tcPr>
            <w:tcW w:w="2268" w:type="dxa"/>
          </w:tcPr>
          <w:p w14:paraId="62207EC0" w14:textId="28D4E6D9"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 xml:space="preserve"> 20,175,737.71 </w:t>
            </w:r>
          </w:p>
        </w:tc>
        <w:tc>
          <w:tcPr>
            <w:tcW w:w="2631" w:type="dxa"/>
          </w:tcPr>
          <w:p w14:paraId="13AB6837" w14:textId="0AA8E2A2" w:rsidR="00B05E8F" w:rsidRPr="00B05E8F" w:rsidRDefault="00B05E8F" w:rsidP="00B05E8F">
            <w:pPr>
              <w:jc w:val="center"/>
              <w:rPr>
                <w:rFonts w:asciiTheme="minorEastAsia" w:hAnsiTheme="minorEastAsia"/>
                <w:szCs w:val="21"/>
              </w:rPr>
            </w:pPr>
            <w:r w:rsidRPr="00B05E8F">
              <w:rPr>
                <w:rFonts w:asciiTheme="minorEastAsia" w:hAnsiTheme="minorEastAsia" w:hint="eastAsia"/>
              </w:rPr>
              <w:t>7.18%</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0F94B4CE"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2019年</w:t>
      </w:r>
      <w:r w:rsidR="00844899">
        <w:rPr>
          <w:rFonts w:asciiTheme="minorEastAsia" w:hAnsiTheme="minorEastAsia"/>
          <w:szCs w:val="21"/>
        </w:rPr>
        <w:t>10</w:t>
      </w:r>
      <w:r>
        <w:rPr>
          <w:rFonts w:asciiTheme="minorEastAsia" w:hAnsiTheme="minorEastAsia"/>
          <w:szCs w:val="21"/>
        </w:rPr>
        <w:t>月</w:t>
      </w:r>
      <w:r w:rsidR="00B05E8F">
        <w:rPr>
          <w:rFonts w:asciiTheme="minorEastAsia" w:hAnsiTheme="minorEastAsia"/>
          <w:szCs w:val="21"/>
        </w:rPr>
        <w:t>1</w:t>
      </w:r>
      <w:r w:rsidR="005E5767">
        <w:rPr>
          <w:rFonts w:asciiTheme="minorEastAsia" w:hAnsiTheme="minorEastAsia"/>
          <w:szCs w:val="21"/>
        </w:rPr>
        <w:t>1</w:t>
      </w:r>
      <w:bookmarkStart w:id="1" w:name="_GoBack"/>
      <w:bookmarkEnd w:id="1"/>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FAEFA" w14:textId="77777777" w:rsidR="00EB1F76" w:rsidRDefault="00EB1F76" w:rsidP="00C50920">
      <w:r>
        <w:separator/>
      </w:r>
    </w:p>
  </w:endnote>
  <w:endnote w:type="continuationSeparator" w:id="0">
    <w:p w14:paraId="38ABF536" w14:textId="77777777" w:rsidR="00EB1F76" w:rsidRDefault="00EB1F76"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FDE3F" w14:textId="77777777" w:rsidR="00EB1F76" w:rsidRDefault="00EB1F76" w:rsidP="00C50920">
      <w:r>
        <w:separator/>
      </w:r>
    </w:p>
  </w:footnote>
  <w:footnote w:type="continuationSeparator" w:id="0">
    <w:p w14:paraId="036CC007" w14:textId="77777777" w:rsidR="00EB1F76" w:rsidRDefault="00EB1F76"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A7771"/>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82843"/>
    <w:rsid w:val="002A26CE"/>
    <w:rsid w:val="002A4A83"/>
    <w:rsid w:val="002E30B7"/>
    <w:rsid w:val="002E3731"/>
    <w:rsid w:val="003354AC"/>
    <w:rsid w:val="00336C9A"/>
    <w:rsid w:val="003B44AB"/>
    <w:rsid w:val="003D11C5"/>
    <w:rsid w:val="003D3EAA"/>
    <w:rsid w:val="003D66DD"/>
    <w:rsid w:val="00426A79"/>
    <w:rsid w:val="00433EE2"/>
    <w:rsid w:val="004348EF"/>
    <w:rsid w:val="004374FB"/>
    <w:rsid w:val="004532F5"/>
    <w:rsid w:val="00460F07"/>
    <w:rsid w:val="0046661B"/>
    <w:rsid w:val="004870F1"/>
    <w:rsid w:val="004B4192"/>
    <w:rsid w:val="004C62CF"/>
    <w:rsid w:val="00512C55"/>
    <w:rsid w:val="005232EF"/>
    <w:rsid w:val="00537086"/>
    <w:rsid w:val="00543F1F"/>
    <w:rsid w:val="00545972"/>
    <w:rsid w:val="00567BB9"/>
    <w:rsid w:val="00570857"/>
    <w:rsid w:val="005A2114"/>
    <w:rsid w:val="005A6B24"/>
    <w:rsid w:val="005B4C9C"/>
    <w:rsid w:val="005C0BB9"/>
    <w:rsid w:val="005C4161"/>
    <w:rsid w:val="005C6219"/>
    <w:rsid w:val="005C6CDE"/>
    <w:rsid w:val="005E4AE6"/>
    <w:rsid w:val="005E5767"/>
    <w:rsid w:val="005E735D"/>
    <w:rsid w:val="005F478D"/>
    <w:rsid w:val="005F6D56"/>
    <w:rsid w:val="006147AF"/>
    <w:rsid w:val="006517A5"/>
    <w:rsid w:val="00661E05"/>
    <w:rsid w:val="00671A87"/>
    <w:rsid w:val="006731F1"/>
    <w:rsid w:val="006857E4"/>
    <w:rsid w:val="00685EC8"/>
    <w:rsid w:val="006D09DA"/>
    <w:rsid w:val="006D4794"/>
    <w:rsid w:val="006D633D"/>
    <w:rsid w:val="00703C41"/>
    <w:rsid w:val="00707D39"/>
    <w:rsid w:val="00715EC1"/>
    <w:rsid w:val="00721332"/>
    <w:rsid w:val="00721A51"/>
    <w:rsid w:val="007418F7"/>
    <w:rsid w:val="00781C59"/>
    <w:rsid w:val="0078672E"/>
    <w:rsid w:val="007C4DBD"/>
    <w:rsid w:val="007E5FB7"/>
    <w:rsid w:val="007F5411"/>
    <w:rsid w:val="00801F46"/>
    <w:rsid w:val="00802BB7"/>
    <w:rsid w:val="00804639"/>
    <w:rsid w:val="00826FAE"/>
    <w:rsid w:val="00841E2B"/>
    <w:rsid w:val="00844899"/>
    <w:rsid w:val="008637A9"/>
    <w:rsid w:val="008A3FD6"/>
    <w:rsid w:val="008C20BB"/>
    <w:rsid w:val="00922A5F"/>
    <w:rsid w:val="00930583"/>
    <w:rsid w:val="00964843"/>
    <w:rsid w:val="00973017"/>
    <w:rsid w:val="00990807"/>
    <w:rsid w:val="009B3ADD"/>
    <w:rsid w:val="009C546F"/>
    <w:rsid w:val="009C5DB2"/>
    <w:rsid w:val="009E1234"/>
    <w:rsid w:val="00A04B71"/>
    <w:rsid w:val="00A10E41"/>
    <w:rsid w:val="00A2555C"/>
    <w:rsid w:val="00A2729F"/>
    <w:rsid w:val="00A35D63"/>
    <w:rsid w:val="00A732B8"/>
    <w:rsid w:val="00A73AE5"/>
    <w:rsid w:val="00A8119F"/>
    <w:rsid w:val="00A8163F"/>
    <w:rsid w:val="00A82D5D"/>
    <w:rsid w:val="00A922F7"/>
    <w:rsid w:val="00A95EBC"/>
    <w:rsid w:val="00AA17A4"/>
    <w:rsid w:val="00AC2FB7"/>
    <w:rsid w:val="00B05E8F"/>
    <w:rsid w:val="00B204D4"/>
    <w:rsid w:val="00B24BFA"/>
    <w:rsid w:val="00B27DF9"/>
    <w:rsid w:val="00B35B1E"/>
    <w:rsid w:val="00B83910"/>
    <w:rsid w:val="00B96721"/>
    <w:rsid w:val="00BF0F91"/>
    <w:rsid w:val="00C06B78"/>
    <w:rsid w:val="00C32AB7"/>
    <w:rsid w:val="00C34385"/>
    <w:rsid w:val="00C50920"/>
    <w:rsid w:val="00C52B0A"/>
    <w:rsid w:val="00C67488"/>
    <w:rsid w:val="00C740BD"/>
    <w:rsid w:val="00C83943"/>
    <w:rsid w:val="00C9183F"/>
    <w:rsid w:val="00CC590D"/>
    <w:rsid w:val="00CF6075"/>
    <w:rsid w:val="00D2048F"/>
    <w:rsid w:val="00D2787F"/>
    <w:rsid w:val="00D4177E"/>
    <w:rsid w:val="00D51B12"/>
    <w:rsid w:val="00D62781"/>
    <w:rsid w:val="00D76454"/>
    <w:rsid w:val="00D902C9"/>
    <w:rsid w:val="00DB573B"/>
    <w:rsid w:val="00DC0D91"/>
    <w:rsid w:val="00DD785A"/>
    <w:rsid w:val="00E1516C"/>
    <w:rsid w:val="00E170D9"/>
    <w:rsid w:val="00E21AF6"/>
    <w:rsid w:val="00E46A42"/>
    <w:rsid w:val="00E5232C"/>
    <w:rsid w:val="00E52716"/>
    <w:rsid w:val="00E6445F"/>
    <w:rsid w:val="00E747F8"/>
    <w:rsid w:val="00E83BF1"/>
    <w:rsid w:val="00E84C7E"/>
    <w:rsid w:val="00E91340"/>
    <w:rsid w:val="00E92356"/>
    <w:rsid w:val="00EA74E3"/>
    <w:rsid w:val="00EB1F76"/>
    <w:rsid w:val="00EB60CC"/>
    <w:rsid w:val="00EE1856"/>
    <w:rsid w:val="00F03130"/>
    <w:rsid w:val="00F119F6"/>
    <w:rsid w:val="00F669B3"/>
    <w:rsid w:val="00F90AB2"/>
    <w:rsid w:val="00F97940"/>
    <w:rsid w:val="00FA5ED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58</cp:revision>
  <cp:lastPrinted>2019-04-10T07:16:00Z</cp:lastPrinted>
  <dcterms:created xsi:type="dcterms:W3CDTF">2019-01-09T08:01:00Z</dcterms:created>
  <dcterms:modified xsi:type="dcterms:W3CDTF">2019-10-11T03:03:00Z</dcterms:modified>
</cp:coreProperties>
</file>