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528279D1"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A44358">
        <w:rPr>
          <w:rFonts w:asciiTheme="minorEastAsia" w:hAnsiTheme="minorEastAsia"/>
          <w:b/>
          <w:sz w:val="32"/>
          <w:szCs w:val="32"/>
        </w:rPr>
        <w:t>7</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0E9B0A98"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w:t>
            </w:r>
            <w:r w:rsidR="00A44358">
              <w:rPr>
                <w:rFonts w:ascii="宋体" w:hAnsi="宋体"/>
                <w:szCs w:val="21"/>
              </w:rPr>
              <w:t>7</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57C781C0"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A44358">
              <w:rPr>
                <w:rFonts w:ascii="宋体"/>
                <w:szCs w:val="21"/>
              </w:rPr>
              <w:t>7</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1E8EFE12" w:rsidR="00B27DF9" w:rsidRPr="002148E5" w:rsidRDefault="000D429E" w:rsidP="002148E5">
            <w:pPr>
              <w:widowControl/>
              <w:rPr>
                <w:color w:val="000000"/>
                <w:sz w:val="22"/>
              </w:rPr>
            </w:pPr>
            <w:r w:rsidRPr="000D429E">
              <w:rPr>
                <w:rFonts w:ascii="宋体"/>
                <w:szCs w:val="21"/>
              </w:rPr>
              <w:t>C112671900005</w:t>
            </w:r>
            <w:r w:rsidR="00A44358">
              <w:rPr>
                <w:rFonts w:ascii="宋体"/>
                <w:szCs w:val="21"/>
              </w:rPr>
              <w:t>7</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589FBE9D" w:rsidR="00B27DF9" w:rsidRDefault="004532F5" w:rsidP="00B27DF9">
            <w:pPr>
              <w:rPr>
                <w:rFonts w:asciiTheme="minorEastAsia" w:hAnsiTheme="minorEastAsia"/>
                <w:szCs w:val="21"/>
              </w:rPr>
            </w:pPr>
            <w:r>
              <w:rPr>
                <w:rFonts w:asciiTheme="minorEastAsia" w:hAnsiTheme="minorEastAsia"/>
                <w:szCs w:val="21"/>
              </w:rPr>
              <w:t>2</w:t>
            </w:r>
            <w:r w:rsidR="00A44358">
              <w:rPr>
                <w:rFonts w:asciiTheme="minorEastAsia" w:hAnsiTheme="minorEastAsia"/>
                <w:szCs w:val="21"/>
              </w:rPr>
              <w:t>44</w:t>
            </w:r>
            <w:r w:rsidR="00A10E41">
              <w:rPr>
                <w:rFonts w:asciiTheme="minorEastAsia" w:hAnsiTheme="minorEastAsia"/>
                <w:szCs w:val="21"/>
              </w:rPr>
              <w:t>,</w:t>
            </w:r>
            <w:r w:rsidR="00A44358">
              <w:rPr>
                <w:rFonts w:asciiTheme="minorEastAsia" w:hAnsiTheme="minorEastAsia"/>
                <w:szCs w:val="21"/>
              </w:rPr>
              <w:t>422</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14E175F6" w:rsidR="00B27DF9" w:rsidRDefault="002148E5" w:rsidP="00B27DF9">
            <w:pPr>
              <w:rPr>
                <w:rFonts w:asciiTheme="minorEastAsia" w:hAnsiTheme="minorEastAsia"/>
                <w:szCs w:val="21"/>
              </w:rPr>
            </w:pPr>
            <w:r>
              <w:rPr>
                <w:rFonts w:asciiTheme="minorEastAsia" w:hAnsiTheme="minorEastAsia"/>
                <w:szCs w:val="21"/>
              </w:rPr>
              <w:t>4.</w:t>
            </w:r>
            <w:r w:rsidR="00A44358">
              <w:rPr>
                <w:rFonts w:asciiTheme="minorEastAsia" w:hAnsiTheme="minorEastAsia"/>
                <w:szCs w:val="21"/>
              </w:rPr>
              <w:t>30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3EB4FCB1"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A44358">
              <w:rPr>
                <w:rFonts w:asciiTheme="minorEastAsia" w:hAnsiTheme="minorEastAsia"/>
                <w:szCs w:val="21"/>
              </w:rPr>
              <w:t>6</w:t>
            </w:r>
            <w:r>
              <w:rPr>
                <w:rFonts w:asciiTheme="minorEastAsia" w:hAnsiTheme="minorEastAsia" w:hint="eastAsia"/>
                <w:szCs w:val="21"/>
              </w:rPr>
              <w:t>月</w:t>
            </w:r>
            <w:r w:rsidR="00A44358">
              <w:rPr>
                <w:rFonts w:asciiTheme="minorEastAsia" w:hAnsiTheme="minorEastAsia"/>
                <w:szCs w:val="21"/>
              </w:rPr>
              <w:t>10</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59136A88"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A44358">
              <w:rPr>
                <w:rFonts w:asciiTheme="minorEastAsia" w:hAnsiTheme="minorEastAsia"/>
                <w:szCs w:val="21"/>
              </w:rPr>
              <w:t>4</w:t>
            </w:r>
            <w:r>
              <w:rPr>
                <w:rFonts w:asciiTheme="minorEastAsia" w:hAnsiTheme="minorEastAsia" w:hint="eastAsia"/>
                <w:szCs w:val="21"/>
              </w:rPr>
              <w:t>月</w:t>
            </w:r>
            <w:r w:rsidR="00A44358">
              <w:rPr>
                <w:rFonts w:asciiTheme="minorEastAsia" w:hAnsiTheme="minorEastAsia"/>
                <w:szCs w:val="21"/>
              </w:rPr>
              <w:t>20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59FC27A" w:rsidR="00C50920" w:rsidRDefault="00CA4AB1" w:rsidP="0035311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47,742,320.61</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640B6429" w:rsidR="00C50920" w:rsidRDefault="00CA4AB1"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.0135</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0B6AD3A3" w:rsidR="00C50920" w:rsidRDefault="00CA4AB1"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.0135</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266BA697" w:rsidR="00C50920" w:rsidRPr="00096902" w:rsidRDefault="00096902" w:rsidP="00353119">
            <w:pPr>
              <w:jc w:val="center"/>
              <w:rPr>
                <w:rFonts w:asciiTheme="minorEastAsia" w:hAnsiTheme="minorEastAsia"/>
                <w:szCs w:val="21"/>
              </w:rPr>
            </w:pPr>
            <w:r w:rsidRPr="00096902">
              <w:rPr>
                <w:rFonts w:asciiTheme="minorEastAsia" w:hAnsiTheme="minorEastAsia"/>
                <w:szCs w:val="21"/>
              </w:rPr>
              <w:t>206,020,795.19</w:t>
            </w:r>
          </w:p>
        </w:tc>
        <w:tc>
          <w:tcPr>
            <w:tcW w:w="2976" w:type="dxa"/>
          </w:tcPr>
          <w:p w14:paraId="1CA9753A" w14:textId="280640D5" w:rsidR="00C50920" w:rsidRPr="00096902" w:rsidRDefault="00096902" w:rsidP="00353119">
            <w:pPr>
              <w:jc w:val="center"/>
              <w:rPr>
                <w:rFonts w:asciiTheme="minorEastAsia" w:hAnsiTheme="minorEastAsia"/>
                <w:szCs w:val="21"/>
              </w:rPr>
            </w:pPr>
            <w:r w:rsidRPr="00096902">
              <w:rPr>
                <w:rFonts w:asciiTheme="minorEastAsia" w:hAnsiTheme="minorEastAsia"/>
                <w:szCs w:val="21"/>
              </w:rPr>
              <w:t>84.29%</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38F42125" w:rsidR="00EB60CC" w:rsidRPr="00096902" w:rsidRDefault="00096902" w:rsidP="00353119">
            <w:pPr>
              <w:jc w:val="center"/>
              <w:rPr>
                <w:rFonts w:asciiTheme="minorEastAsia" w:hAnsiTheme="minorEastAsia"/>
                <w:szCs w:val="21"/>
              </w:rPr>
            </w:pPr>
            <w:r w:rsidRPr="00096902">
              <w:rPr>
                <w:rFonts w:asciiTheme="minorEastAsia" w:hAnsiTheme="minorEastAsia"/>
                <w:szCs w:val="21"/>
              </w:rPr>
              <w:t>38,401,204.81</w:t>
            </w:r>
          </w:p>
        </w:tc>
        <w:tc>
          <w:tcPr>
            <w:tcW w:w="2976" w:type="dxa"/>
          </w:tcPr>
          <w:p w14:paraId="7ECD27A3" w14:textId="71E3747B" w:rsidR="00EB60CC" w:rsidRPr="00096902" w:rsidRDefault="00096902" w:rsidP="00353119">
            <w:pPr>
              <w:jc w:val="center"/>
              <w:rPr>
                <w:rFonts w:asciiTheme="minorEastAsia" w:hAnsiTheme="minorEastAsia"/>
                <w:szCs w:val="21"/>
              </w:rPr>
            </w:pPr>
            <w:r w:rsidRPr="00096902">
              <w:rPr>
                <w:rFonts w:asciiTheme="minorEastAsia" w:hAnsiTheme="minorEastAsia"/>
                <w:szCs w:val="21"/>
              </w:rPr>
              <w:t>15.71%</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5931A3E8" w:rsidR="00C50920" w:rsidRPr="00096902" w:rsidRDefault="00096902" w:rsidP="00353119">
            <w:pPr>
              <w:jc w:val="center"/>
              <w:rPr>
                <w:rFonts w:asciiTheme="minorEastAsia" w:hAnsiTheme="minorEastAsia"/>
                <w:szCs w:val="21"/>
              </w:rPr>
            </w:pPr>
            <w:r w:rsidRPr="00096902">
              <w:rPr>
                <w:rFonts w:asciiTheme="minorEastAsia" w:hAnsiTheme="minorEastAsia"/>
                <w:szCs w:val="21"/>
              </w:rPr>
              <w:t>244,422,000.00</w:t>
            </w:r>
          </w:p>
        </w:tc>
        <w:tc>
          <w:tcPr>
            <w:tcW w:w="2976" w:type="dxa"/>
          </w:tcPr>
          <w:p w14:paraId="33F037A0" w14:textId="56670767" w:rsidR="00C50920" w:rsidRPr="00096902" w:rsidRDefault="00096902" w:rsidP="00353119">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096902" w14:paraId="483A4095" w14:textId="77777777" w:rsidTr="00353119">
        <w:tc>
          <w:tcPr>
            <w:tcW w:w="704" w:type="dxa"/>
          </w:tcPr>
          <w:p w14:paraId="4EE9030B" w14:textId="77777777"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247194EE"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长江联合金融租赁有限公司同业借款</w:t>
            </w:r>
          </w:p>
        </w:tc>
        <w:tc>
          <w:tcPr>
            <w:tcW w:w="2268" w:type="dxa"/>
          </w:tcPr>
          <w:p w14:paraId="4DD77409" w14:textId="346B3BF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35,000,000.00 </w:t>
            </w:r>
          </w:p>
        </w:tc>
        <w:tc>
          <w:tcPr>
            <w:tcW w:w="2631" w:type="dxa"/>
          </w:tcPr>
          <w:p w14:paraId="5D8B68A4" w14:textId="10E738FD"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14.32%</w:t>
            </w:r>
          </w:p>
        </w:tc>
      </w:tr>
      <w:tr w:rsidR="00096902" w14:paraId="00EFEF50" w14:textId="77777777" w:rsidTr="00353119">
        <w:tc>
          <w:tcPr>
            <w:tcW w:w="704" w:type="dxa"/>
          </w:tcPr>
          <w:p w14:paraId="2FFF8836" w14:textId="2B8C5A55"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1181EA6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18奇瑞徽银汽车02</w:t>
            </w:r>
          </w:p>
        </w:tc>
        <w:tc>
          <w:tcPr>
            <w:tcW w:w="2268" w:type="dxa"/>
          </w:tcPr>
          <w:p w14:paraId="5C58D15F" w14:textId="40091BA6"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23,840,602.74 </w:t>
            </w:r>
          </w:p>
        </w:tc>
        <w:tc>
          <w:tcPr>
            <w:tcW w:w="2631" w:type="dxa"/>
          </w:tcPr>
          <w:p w14:paraId="566522AB" w14:textId="387680AD"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9.75%</w:t>
            </w:r>
          </w:p>
        </w:tc>
      </w:tr>
      <w:tr w:rsidR="00096902" w14:paraId="74ABC67A" w14:textId="77777777" w:rsidTr="00353119">
        <w:tc>
          <w:tcPr>
            <w:tcW w:w="704" w:type="dxa"/>
          </w:tcPr>
          <w:p w14:paraId="3B472AC0" w14:textId="4272340A"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353350B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18宜昌绿色债NPB</w:t>
            </w:r>
          </w:p>
        </w:tc>
        <w:tc>
          <w:tcPr>
            <w:tcW w:w="2268" w:type="dxa"/>
          </w:tcPr>
          <w:p w14:paraId="117652C3" w14:textId="0CACCE48"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23,773,070.01 </w:t>
            </w:r>
          </w:p>
        </w:tc>
        <w:tc>
          <w:tcPr>
            <w:tcW w:w="2631" w:type="dxa"/>
          </w:tcPr>
          <w:p w14:paraId="0351D02B" w14:textId="2C691836"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9.73%</w:t>
            </w:r>
          </w:p>
        </w:tc>
      </w:tr>
      <w:tr w:rsidR="00096902" w14:paraId="6AFE886D" w14:textId="77777777" w:rsidTr="00353119">
        <w:tc>
          <w:tcPr>
            <w:tcW w:w="704" w:type="dxa"/>
          </w:tcPr>
          <w:p w14:paraId="6C1283C9" w14:textId="32433036"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56D28FD4"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18常城建PPN004</w:t>
            </w:r>
          </w:p>
        </w:tc>
        <w:tc>
          <w:tcPr>
            <w:tcW w:w="2268" w:type="dxa"/>
          </w:tcPr>
          <w:p w14:paraId="1E46CC52" w14:textId="66E4AB6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22,947,506.85 </w:t>
            </w:r>
          </w:p>
        </w:tc>
        <w:tc>
          <w:tcPr>
            <w:tcW w:w="2631" w:type="dxa"/>
          </w:tcPr>
          <w:p w14:paraId="1D193477" w14:textId="5C29CD8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9.39%</w:t>
            </w:r>
          </w:p>
        </w:tc>
      </w:tr>
      <w:tr w:rsidR="00096902" w14:paraId="511F28C6" w14:textId="77777777" w:rsidTr="00353119">
        <w:tc>
          <w:tcPr>
            <w:tcW w:w="704" w:type="dxa"/>
          </w:tcPr>
          <w:p w14:paraId="3E8E37F4" w14:textId="569D5385"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4ABF022C"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19如皋沿江PPN002</w:t>
            </w:r>
          </w:p>
        </w:tc>
        <w:tc>
          <w:tcPr>
            <w:tcW w:w="2268" w:type="dxa"/>
          </w:tcPr>
          <w:p w14:paraId="7882E0CC" w14:textId="1CC3201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22,187,252.46 </w:t>
            </w:r>
          </w:p>
        </w:tc>
        <w:tc>
          <w:tcPr>
            <w:tcW w:w="2631" w:type="dxa"/>
          </w:tcPr>
          <w:p w14:paraId="4FF6FB9A" w14:textId="32AACBB5"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9.08%</w:t>
            </w:r>
          </w:p>
        </w:tc>
      </w:tr>
      <w:tr w:rsidR="00096902" w14:paraId="47CD3E20" w14:textId="77777777" w:rsidTr="00353119">
        <w:tc>
          <w:tcPr>
            <w:tcW w:w="704" w:type="dxa"/>
          </w:tcPr>
          <w:p w14:paraId="29D50832" w14:textId="6C99EF3A"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5D55BEE3"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18绍兴城投PPN001</w:t>
            </w:r>
          </w:p>
        </w:tc>
        <w:tc>
          <w:tcPr>
            <w:tcW w:w="2268" w:type="dxa"/>
          </w:tcPr>
          <w:p w14:paraId="08F20E7C" w14:textId="3D88E60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21,643,094.80 </w:t>
            </w:r>
          </w:p>
        </w:tc>
        <w:tc>
          <w:tcPr>
            <w:tcW w:w="2631" w:type="dxa"/>
          </w:tcPr>
          <w:p w14:paraId="492266C4" w14:textId="7B62E799"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8.85%</w:t>
            </w:r>
          </w:p>
        </w:tc>
      </w:tr>
      <w:tr w:rsidR="00096902" w14:paraId="3D18606B" w14:textId="77777777" w:rsidTr="00353119">
        <w:tc>
          <w:tcPr>
            <w:tcW w:w="704" w:type="dxa"/>
          </w:tcPr>
          <w:p w14:paraId="0383B453" w14:textId="687B8312"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1C5BD5C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18潍滨专项债01</w:t>
            </w:r>
          </w:p>
        </w:tc>
        <w:tc>
          <w:tcPr>
            <w:tcW w:w="2268" w:type="dxa"/>
          </w:tcPr>
          <w:p w14:paraId="7AEA0475" w14:textId="0A256DF1"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17,558,724.56 </w:t>
            </w:r>
          </w:p>
        </w:tc>
        <w:tc>
          <w:tcPr>
            <w:tcW w:w="2631" w:type="dxa"/>
          </w:tcPr>
          <w:p w14:paraId="7EB9E879" w14:textId="58F77BEF"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7.18%</w:t>
            </w:r>
          </w:p>
        </w:tc>
      </w:tr>
      <w:tr w:rsidR="00096902" w14:paraId="345492B1" w14:textId="77777777" w:rsidTr="00353119">
        <w:tc>
          <w:tcPr>
            <w:tcW w:w="704" w:type="dxa"/>
          </w:tcPr>
          <w:p w14:paraId="2E7D367F" w14:textId="6720E79D" w:rsidR="00096902" w:rsidRPr="007418F7" w:rsidRDefault="00096902" w:rsidP="00096902">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295A614F"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19重庆新梁PPN001</w:t>
            </w:r>
          </w:p>
        </w:tc>
        <w:tc>
          <w:tcPr>
            <w:tcW w:w="2268" w:type="dxa"/>
          </w:tcPr>
          <w:p w14:paraId="685279EB" w14:textId="0B53D33E"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17,181,844.26 </w:t>
            </w:r>
          </w:p>
        </w:tc>
        <w:tc>
          <w:tcPr>
            <w:tcW w:w="2631" w:type="dxa"/>
          </w:tcPr>
          <w:p w14:paraId="3F1C1B6A" w14:textId="29DBA633"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7.03%</w:t>
            </w:r>
          </w:p>
        </w:tc>
      </w:tr>
      <w:tr w:rsidR="00096902" w14:paraId="0E56752F" w14:textId="77777777" w:rsidTr="00353119">
        <w:tc>
          <w:tcPr>
            <w:tcW w:w="704" w:type="dxa"/>
          </w:tcPr>
          <w:p w14:paraId="317507EE" w14:textId="337F71E4"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6A83C09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19盛裕投资MTN001</w:t>
            </w:r>
          </w:p>
        </w:tc>
        <w:tc>
          <w:tcPr>
            <w:tcW w:w="2268" w:type="dxa"/>
          </w:tcPr>
          <w:p w14:paraId="22F94A2D" w14:textId="5B80B82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17,140,087.43 </w:t>
            </w:r>
          </w:p>
        </w:tc>
        <w:tc>
          <w:tcPr>
            <w:tcW w:w="2631" w:type="dxa"/>
          </w:tcPr>
          <w:p w14:paraId="509F679B" w14:textId="742477D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7.01%</w:t>
            </w:r>
          </w:p>
        </w:tc>
      </w:tr>
      <w:tr w:rsidR="00096902" w14:paraId="31C9BF01" w14:textId="77777777" w:rsidTr="00353119">
        <w:tc>
          <w:tcPr>
            <w:tcW w:w="704" w:type="dxa"/>
          </w:tcPr>
          <w:p w14:paraId="1D82D0A1" w14:textId="4963E966"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3616799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19绵阳交通PPN001</w:t>
            </w:r>
          </w:p>
        </w:tc>
        <w:tc>
          <w:tcPr>
            <w:tcW w:w="2268" w:type="dxa"/>
          </w:tcPr>
          <w:p w14:paraId="62207EC0" w14:textId="1743E496"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16,140,590.16 </w:t>
            </w:r>
          </w:p>
        </w:tc>
        <w:tc>
          <w:tcPr>
            <w:tcW w:w="2631" w:type="dxa"/>
          </w:tcPr>
          <w:p w14:paraId="13AB6837" w14:textId="22A5079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6.60%</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0A79C736"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096902">
        <w:rPr>
          <w:rFonts w:asciiTheme="minorEastAsia" w:hAnsiTheme="minorEastAsia"/>
          <w:szCs w:val="21"/>
        </w:rPr>
        <w:t>1</w:t>
      </w:r>
      <w:r w:rsidR="009D255C">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9612" w14:textId="77777777" w:rsidR="006856BB" w:rsidRDefault="006856BB" w:rsidP="00C50920">
      <w:r>
        <w:separator/>
      </w:r>
    </w:p>
  </w:endnote>
  <w:endnote w:type="continuationSeparator" w:id="0">
    <w:p w14:paraId="164C2958" w14:textId="77777777" w:rsidR="006856BB" w:rsidRDefault="006856BB"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25DD" w14:textId="77777777" w:rsidR="006856BB" w:rsidRDefault="006856BB" w:rsidP="00C50920">
      <w:r>
        <w:separator/>
      </w:r>
    </w:p>
  </w:footnote>
  <w:footnote w:type="continuationSeparator" w:id="0">
    <w:p w14:paraId="1B638343" w14:textId="77777777" w:rsidR="006856BB" w:rsidRDefault="006856BB"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6BB"/>
    <w:rsid w:val="006857E4"/>
    <w:rsid w:val="00685EC8"/>
    <w:rsid w:val="006867E2"/>
    <w:rsid w:val="006D09DA"/>
    <w:rsid w:val="006D4794"/>
    <w:rsid w:val="006D633D"/>
    <w:rsid w:val="00703C41"/>
    <w:rsid w:val="00707D39"/>
    <w:rsid w:val="00715EC1"/>
    <w:rsid w:val="00721332"/>
    <w:rsid w:val="00721A51"/>
    <w:rsid w:val="007418F7"/>
    <w:rsid w:val="00781C59"/>
    <w:rsid w:val="0078672E"/>
    <w:rsid w:val="007C4DBD"/>
    <w:rsid w:val="007E5FB7"/>
    <w:rsid w:val="007F5411"/>
    <w:rsid w:val="00801F46"/>
    <w:rsid w:val="00802BB7"/>
    <w:rsid w:val="00804639"/>
    <w:rsid w:val="00826FAE"/>
    <w:rsid w:val="00841E2B"/>
    <w:rsid w:val="00844899"/>
    <w:rsid w:val="008637A9"/>
    <w:rsid w:val="008A3FD6"/>
    <w:rsid w:val="008C20BB"/>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4587"/>
    <w:rsid w:val="00A732B8"/>
    <w:rsid w:val="00A73AE5"/>
    <w:rsid w:val="00A8119F"/>
    <w:rsid w:val="00A8163F"/>
    <w:rsid w:val="00A82D5D"/>
    <w:rsid w:val="00A922F7"/>
    <w:rsid w:val="00A95EBC"/>
    <w:rsid w:val="00AA17A4"/>
    <w:rsid w:val="00AC2FB7"/>
    <w:rsid w:val="00B204D4"/>
    <w:rsid w:val="00B24BFA"/>
    <w:rsid w:val="00B27DF9"/>
    <w:rsid w:val="00B35B1E"/>
    <w:rsid w:val="00B83910"/>
    <w:rsid w:val="00B96721"/>
    <w:rsid w:val="00BF0F91"/>
    <w:rsid w:val="00C06B78"/>
    <w:rsid w:val="00C32AB7"/>
    <w:rsid w:val="00C34385"/>
    <w:rsid w:val="00C50920"/>
    <w:rsid w:val="00C52B0A"/>
    <w:rsid w:val="00C83943"/>
    <w:rsid w:val="00C9183F"/>
    <w:rsid w:val="00CA4AB1"/>
    <w:rsid w:val="00CC590D"/>
    <w:rsid w:val="00CF6075"/>
    <w:rsid w:val="00D2048F"/>
    <w:rsid w:val="00D2787F"/>
    <w:rsid w:val="00D4177E"/>
    <w:rsid w:val="00D51B12"/>
    <w:rsid w:val="00D62781"/>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59</cp:revision>
  <cp:lastPrinted>2019-04-10T07:16:00Z</cp:lastPrinted>
  <dcterms:created xsi:type="dcterms:W3CDTF">2019-01-09T08:01:00Z</dcterms:created>
  <dcterms:modified xsi:type="dcterms:W3CDTF">2019-10-11T03:04:00Z</dcterms:modified>
</cp:coreProperties>
</file>