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59DD453B"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w:t>
      </w:r>
      <w:r w:rsidR="00C6254D">
        <w:rPr>
          <w:rFonts w:asciiTheme="minorEastAsia" w:hAnsiTheme="minorEastAsia"/>
          <w:b/>
          <w:sz w:val="32"/>
          <w:szCs w:val="32"/>
        </w:rPr>
        <w:t>19</w:t>
      </w:r>
      <w:r w:rsidR="00C83943" w:rsidRPr="00C83943">
        <w:rPr>
          <w:rFonts w:asciiTheme="minorEastAsia" w:hAnsiTheme="minorEastAsia" w:hint="eastAsia"/>
          <w:b/>
          <w:sz w:val="32"/>
          <w:szCs w:val="32"/>
        </w:rPr>
        <w:t>年第</w:t>
      </w:r>
      <w:r w:rsidR="00C6254D">
        <w:rPr>
          <w:rFonts w:asciiTheme="minorEastAsia" w:hAnsiTheme="minorEastAsia"/>
          <w:b/>
          <w:sz w:val="32"/>
          <w:szCs w:val="32"/>
        </w:rPr>
        <w:t>6</w:t>
      </w:r>
      <w:r w:rsidR="008577EC">
        <w:rPr>
          <w:rFonts w:asciiTheme="minorEastAsia" w:hAnsiTheme="minorEastAsia"/>
          <w:b/>
          <w:sz w:val="32"/>
          <w:szCs w:val="32"/>
        </w:rPr>
        <w:t>1</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0F696EED" w:rsidR="00B27DF9" w:rsidRDefault="00052495" w:rsidP="00B27DF9">
            <w:pPr>
              <w:rPr>
                <w:rFonts w:asciiTheme="minorEastAsia" w:hAnsiTheme="minorEastAsia"/>
                <w:szCs w:val="21"/>
              </w:rPr>
            </w:pPr>
            <w:r w:rsidRPr="00052495">
              <w:rPr>
                <w:rFonts w:ascii="宋体" w:hAnsi="宋体" w:hint="eastAsia"/>
                <w:szCs w:val="21"/>
              </w:rPr>
              <w:t>江渝财富“天添金”20</w:t>
            </w:r>
            <w:r w:rsidR="00C6254D">
              <w:rPr>
                <w:rFonts w:ascii="宋体" w:hAnsi="宋体"/>
                <w:szCs w:val="21"/>
              </w:rPr>
              <w:t>19</w:t>
            </w:r>
            <w:r w:rsidRPr="00052495">
              <w:rPr>
                <w:rFonts w:ascii="宋体" w:hAnsi="宋体" w:hint="eastAsia"/>
                <w:szCs w:val="21"/>
              </w:rPr>
              <w:t>年第</w:t>
            </w:r>
            <w:r w:rsidR="00C6254D">
              <w:rPr>
                <w:rFonts w:ascii="宋体" w:hAnsi="宋体"/>
                <w:szCs w:val="21"/>
              </w:rPr>
              <w:t>6</w:t>
            </w:r>
            <w:r w:rsidR="008577EC">
              <w:rPr>
                <w:rFonts w:ascii="宋体" w:hAnsi="宋体"/>
                <w:szCs w:val="21"/>
              </w:rPr>
              <w:t>1</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24C89DD8" w:rsidR="00B27DF9" w:rsidRDefault="00671A87" w:rsidP="00B27DF9">
            <w:pPr>
              <w:rPr>
                <w:rFonts w:asciiTheme="minorEastAsia" w:hAnsiTheme="minorEastAsia"/>
                <w:szCs w:val="21"/>
              </w:rPr>
            </w:pPr>
            <w:r>
              <w:rPr>
                <w:rFonts w:ascii="宋体" w:hint="eastAsia"/>
                <w:szCs w:val="21"/>
              </w:rPr>
              <w:t>1</w:t>
            </w:r>
            <w:r w:rsidR="00C6254D">
              <w:rPr>
                <w:rFonts w:ascii="宋体"/>
                <w:szCs w:val="21"/>
              </w:rPr>
              <w:t>201906</w:t>
            </w:r>
            <w:r w:rsidR="008577EC">
              <w:rPr>
                <w:rFonts w:ascii="宋体"/>
                <w:szCs w:val="21"/>
              </w:rPr>
              <w:t>1</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4FE67505" w:rsidR="00B27DF9" w:rsidRPr="002148E5" w:rsidRDefault="00C6254D" w:rsidP="002148E5">
            <w:pPr>
              <w:widowControl/>
              <w:rPr>
                <w:color w:val="000000"/>
                <w:sz w:val="22"/>
              </w:rPr>
            </w:pPr>
            <w:r w:rsidRPr="00C6254D">
              <w:rPr>
                <w:rFonts w:ascii="宋体"/>
                <w:szCs w:val="21"/>
              </w:rPr>
              <w:t>C112671900019</w:t>
            </w:r>
            <w:r w:rsidR="008577EC">
              <w:rPr>
                <w:rFonts w:ascii="宋体"/>
                <w:szCs w:val="21"/>
              </w:rPr>
              <w:t>2</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572DDE6" w:rsidR="00B27DF9" w:rsidRDefault="00C6254D" w:rsidP="00B27DF9">
            <w:pPr>
              <w:rPr>
                <w:rFonts w:asciiTheme="minorEastAsia" w:hAnsiTheme="minorEastAsia"/>
                <w:szCs w:val="21"/>
              </w:rPr>
            </w:pPr>
            <w:r>
              <w:rPr>
                <w:rFonts w:asciiTheme="minorEastAsia" w:hAnsiTheme="minorEastAsia"/>
                <w:szCs w:val="21"/>
              </w:rPr>
              <w:t>500</w:t>
            </w:r>
            <w:r w:rsidR="00A10E41">
              <w:rPr>
                <w:rFonts w:asciiTheme="minorEastAsia" w:hAnsiTheme="minorEastAsia"/>
                <w:szCs w:val="21"/>
              </w:rPr>
              <w:t>,</w:t>
            </w:r>
            <w:r>
              <w:rPr>
                <w:rFonts w:asciiTheme="minorEastAsia" w:hAnsiTheme="minorEastAsia"/>
                <w:szCs w:val="21"/>
              </w:rPr>
              <w:t>000</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70F048A" w:rsidR="00B27DF9" w:rsidRDefault="002148E5" w:rsidP="00B27DF9">
            <w:pPr>
              <w:rPr>
                <w:rFonts w:asciiTheme="minorEastAsia" w:hAnsiTheme="minorEastAsia"/>
                <w:szCs w:val="21"/>
              </w:rPr>
            </w:pPr>
            <w:r>
              <w:rPr>
                <w:rFonts w:asciiTheme="minorEastAsia" w:hAnsiTheme="minorEastAsia"/>
                <w:szCs w:val="21"/>
              </w:rPr>
              <w:t>4.</w:t>
            </w:r>
            <w:r w:rsidR="00C6254D">
              <w:rPr>
                <w:rFonts w:asciiTheme="minorEastAsia" w:hAnsiTheme="minorEastAsia"/>
                <w:szCs w:val="21"/>
              </w:rPr>
              <w:t>05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016CF77"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C6254D">
              <w:rPr>
                <w:rFonts w:asciiTheme="minorEastAsia" w:hAnsiTheme="minorEastAsia"/>
                <w:szCs w:val="21"/>
              </w:rPr>
              <w:t>1</w:t>
            </w:r>
            <w:r w:rsidR="008577EC">
              <w:rPr>
                <w:rFonts w:asciiTheme="minorEastAsia" w:hAnsiTheme="minorEastAsia"/>
                <w:szCs w:val="21"/>
              </w:rPr>
              <w:t>2</w:t>
            </w:r>
            <w:r>
              <w:rPr>
                <w:rFonts w:asciiTheme="minorEastAsia" w:hAnsiTheme="minorEastAsia" w:hint="eastAsia"/>
                <w:szCs w:val="21"/>
              </w:rPr>
              <w:t>月</w:t>
            </w:r>
            <w:r w:rsidR="008577EC">
              <w:rPr>
                <w:rFonts w:asciiTheme="minorEastAsia" w:hAnsiTheme="minorEastAsia"/>
                <w:szCs w:val="21"/>
              </w:rPr>
              <w:t>3</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54BE5B23"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8577EC">
              <w:rPr>
                <w:rFonts w:asciiTheme="minorEastAsia" w:hAnsiTheme="minorEastAsia"/>
                <w:szCs w:val="21"/>
              </w:rPr>
              <w:t>8</w:t>
            </w:r>
            <w:r>
              <w:rPr>
                <w:rFonts w:asciiTheme="minorEastAsia" w:hAnsiTheme="minorEastAsia" w:hint="eastAsia"/>
                <w:szCs w:val="21"/>
              </w:rPr>
              <w:t>月</w:t>
            </w:r>
            <w:r w:rsidR="008577EC">
              <w:rPr>
                <w:rFonts w:asciiTheme="minorEastAsia" w:hAnsiTheme="minorEastAsia"/>
                <w:szCs w:val="21"/>
              </w:rPr>
              <w:t>4</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8179A52" w:rsidR="00C50920" w:rsidRDefault="00493BC8" w:rsidP="00353119">
            <w:pPr>
              <w:rPr>
                <w:rFonts w:asciiTheme="minorEastAsia" w:hAnsiTheme="minorEastAsia"/>
                <w:szCs w:val="21"/>
              </w:rPr>
            </w:pPr>
            <w:r w:rsidRPr="00493BC8">
              <w:rPr>
                <w:rFonts w:asciiTheme="minorEastAsia" w:hAnsiTheme="minorEastAsia"/>
                <w:szCs w:val="21"/>
              </w:rPr>
              <w:t>506</w:t>
            </w:r>
            <w:r>
              <w:rPr>
                <w:rFonts w:asciiTheme="minorEastAsia" w:hAnsiTheme="minorEastAsia"/>
                <w:szCs w:val="21"/>
              </w:rPr>
              <w:t>,</w:t>
            </w:r>
            <w:r w:rsidRPr="00493BC8">
              <w:rPr>
                <w:rFonts w:asciiTheme="minorEastAsia" w:hAnsiTheme="minorEastAsia"/>
                <w:szCs w:val="21"/>
              </w:rPr>
              <w:t>850</w:t>
            </w:r>
            <w:r>
              <w:rPr>
                <w:rFonts w:asciiTheme="minorEastAsia" w:hAnsiTheme="minorEastAsia"/>
                <w:szCs w:val="21"/>
              </w:rPr>
              <w:t>,</w:t>
            </w:r>
            <w:r w:rsidRPr="00493BC8">
              <w:rPr>
                <w:rFonts w:asciiTheme="minorEastAsia" w:hAnsiTheme="minorEastAsia"/>
                <w:szCs w:val="21"/>
              </w:rPr>
              <w:t>586.07</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49BC6C30" w:rsidR="00C50920" w:rsidRDefault="00493BC8" w:rsidP="00353119">
            <w:pPr>
              <w:rPr>
                <w:rFonts w:asciiTheme="minorEastAsia" w:hAnsiTheme="minorEastAsia"/>
                <w:szCs w:val="21"/>
              </w:rPr>
            </w:pPr>
            <w:r w:rsidRPr="00493BC8">
              <w:rPr>
                <w:rFonts w:asciiTheme="minorEastAsia" w:hAnsiTheme="minorEastAsia"/>
                <w:szCs w:val="21"/>
              </w:rPr>
              <w:t>1.0137</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58889621" w:rsidR="00C50920" w:rsidRDefault="00493BC8" w:rsidP="00353119">
            <w:pPr>
              <w:rPr>
                <w:rFonts w:asciiTheme="minorEastAsia" w:hAnsiTheme="minorEastAsia"/>
                <w:szCs w:val="21"/>
              </w:rPr>
            </w:pPr>
            <w:r w:rsidRPr="00493BC8">
              <w:rPr>
                <w:rFonts w:asciiTheme="minorEastAsia" w:hAnsiTheme="minorEastAsia"/>
                <w:szCs w:val="21"/>
              </w:rPr>
              <w:t>1.0137</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6909C3" w14:paraId="45646512" w14:textId="77777777" w:rsidTr="001315F5">
        <w:tc>
          <w:tcPr>
            <w:tcW w:w="634" w:type="dxa"/>
          </w:tcPr>
          <w:p w14:paraId="03095411" w14:textId="67BBEBB5" w:rsidR="006909C3" w:rsidRDefault="006909C3" w:rsidP="006909C3">
            <w:pPr>
              <w:jc w:val="center"/>
              <w:rPr>
                <w:rFonts w:asciiTheme="minorEastAsia" w:hAnsiTheme="minorEastAsia" w:hint="eastAsia"/>
                <w:szCs w:val="21"/>
              </w:rPr>
            </w:pPr>
            <w:r>
              <w:rPr>
                <w:rFonts w:asciiTheme="minorEastAsia" w:hAnsiTheme="minorEastAsia" w:hint="eastAsia"/>
                <w:szCs w:val="21"/>
              </w:rPr>
              <w:t>1</w:t>
            </w:r>
          </w:p>
        </w:tc>
        <w:tc>
          <w:tcPr>
            <w:tcW w:w="2136" w:type="dxa"/>
          </w:tcPr>
          <w:p w14:paraId="17EACC1F" w14:textId="2F4E6A6D" w:rsidR="006909C3" w:rsidRDefault="006909C3" w:rsidP="006909C3">
            <w:pPr>
              <w:jc w:val="center"/>
              <w:rPr>
                <w:rFonts w:asciiTheme="minorEastAsia" w:hAnsiTheme="minorEastAsia" w:hint="eastAsia"/>
                <w:szCs w:val="21"/>
              </w:rPr>
            </w:pPr>
            <w:r>
              <w:rPr>
                <w:rFonts w:asciiTheme="minorEastAsia" w:hAnsiTheme="minorEastAsia" w:hint="eastAsia"/>
                <w:szCs w:val="21"/>
              </w:rPr>
              <w:t>债券</w:t>
            </w:r>
          </w:p>
        </w:tc>
        <w:tc>
          <w:tcPr>
            <w:tcW w:w="2754" w:type="dxa"/>
            <w:vAlign w:val="bottom"/>
          </w:tcPr>
          <w:p w14:paraId="25A580BB" w14:textId="35EEB033" w:rsidR="006909C3" w:rsidRPr="0041578A" w:rsidRDefault="006909C3" w:rsidP="006909C3">
            <w:pPr>
              <w:jc w:val="center"/>
              <w:rPr>
                <w:rFonts w:asciiTheme="minorEastAsia" w:hAnsiTheme="minorEastAsia"/>
                <w:szCs w:val="21"/>
              </w:rPr>
            </w:pPr>
            <w:r w:rsidRPr="0041578A">
              <w:rPr>
                <w:rFonts w:asciiTheme="minorEastAsia" w:hAnsiTheme="minorEastAsia"/>
                <w:szCs w:val="21"/>
              </w:rPr>
              <w:t>359,661,684.44</w:t>
            </w:r>
          </w:p>
        </w:tc>
        <w:tc>
          <w:tcPr>
            <w:tcW w:w="2976" w:type="dxa"/>
            <w:vAlign w:val="bottom"/>
          </w:tcPr>
          <w:p w14:paraId="59484AA4" w14:textId="20EA55A4" w:rsidR="006909C3" w:rsidRPr="0041578A" w:rsidRDefault="006909C3" w:rsidP="006909C3">
            <w:pPr>
              <w:jc w:val="center"/>
              <w:rPr>
                <w:rFonts w:asciiTheme="minorEastAsia" w:hAnsiTheme="minorEastAsia"/>
                <w:szCs w:val="21"/>
              </w:rPr>
            </w:pPr>
            <w:r w:rsidRPr="0041578A">
              <w:rPr>
                <w:rFonts w:asciiTheme="minorEastAsia" w:hAnsiTheme="minorEastAsia"/>
                <w:szCs w:val="21"/>
              </w:rPr>
              <w:t>71.93%</w:t>
            </w:r>
          </w:p>
        </w:tc>
      </w:tr>
      <w:tr w:rsidR="006909C3" w14:paraId="2C030551" w14:textId="77777777" w:rsidTr="001315F5">
        <w:tc>
          <w:tcPr>
            <w:tcW w:w="634" w:type="dxa"/>
          </w:tcPr>
          <w:p w14:paraId="603D7D8F" w14:textId="48BE1AC2" w:rsidR="006909C3" w:rsidRDefault="006909C3" w:rsidP="006909C3">
            <w:pPr>
              <w:jc w:val="center"/>
              <w:rPr>
                <w:rFonts w:asciiTheme="minorEastAsia" w:hAnsiTheme="minorEastAsia"/>
                <w:szCs w:val="21"/>
              </w:rPr>
            </w:pPr>
            <w:r>
              <w:rPr>
                <w:rFonts w:asciiTheme="minorEastAsia" w:hAnsiTheme="minorEastAsia"/>
                <w:szCs w:val="21"/>
              </w:rPr>
              <w:t>2</w:t>
            </w:r>
          </w:p>
        </w:tc>
        <w:tc>
          <w:tcPr>
            <w:tcW w:w="2136" w:type="dxa"/>
          </w:tcPr>
          <w:p w14:paraId="3206D07C" w14:textId="0D82EAE8" w:rsidR="006909C3" w:rsidRDefault="006909C3" w:rsidP="006909C3">
            <w:pPr>
              <w:jc w:val="center"/>
              <w:rPr>
                <w:rFonts w:asciiTheme="minorEastAsia" w:hAnsiTheme="minorEastAsia"/>
                <w:szCs w:val="21"/>
              </w:rPr>
            </w:pPr>
            <w:r>
              <w:rPr>
                <w:rFonts w:asciiTheme="minorEastAsia" w:hAnsiTheme="minorEastAsia" w:hint="eastAsia"/>
                <w:szCs w:val="21"/>
              </w:rPr>
              <w:t>同业往来资产</w:t>
            </w:r>
          </w:p>
        </w:tc>
        <w:tc>
          <w:tcPr>
            <w:tcW w:w="2754" w:type="dxa"/>
            <w:vAlign w:val="bottom"/>
          </w:tcPr>
          <w:p w14:paraId="4A78F059" w14:textId="11478DC1" w:rsidR="006909C3" w:rsidRPr="00096902" w:rsidRDefault="006909C3" w:rsidP="006909C3">
            <w:pPr>
              <w:jc w:val="center"/>
              <w:rPr>
                <w:rFonts w:asciiTheme="minorEastAsia" w:hAnsiTheme="minorEastAsia"/>
                <w:szCs w:val="21"/>
              </w:rPr>
            </w:pPr>
            <w:r w:rsidRPr="0041578A">
              <w:rPr>
                <w:rFonts w:asciiTheme="minorEastAsia" w:hAnsiTheme="minorEastAsia"/>
                <w:szCs w:val="21"/>
              </w:rPr>
              <w:t xml:space="preserve">140,338,315.56 </w:t>
            </w:r>
          </w:p>
        </w:tc>
        <w:tc>
          <w:tcPr>
            <w:tcW w:w="2976" w:type="dxa"/>
            <w:vAlign w:val="bottom"/>
          </w:tcPr>
          <w:p w14:paraId="1CA9753A" w14:textId="0115E1A9" w:rsidR="006909C3" w:rsidRPr="00096902" w:rsidRDefault="006909C3" w:rsidP="006909C3">
            <w:pPr>
              <w:jc w:val="center"/>
              <w:rPr>
                <w:rFonts w:asciiTheme="minorEastAsia" w:hAnsiTheme="minorEastAsia"/>
                <w:szCs w:val="21"/>
              </w:rPr>
            </w:pPr>
            <w:r w:rsidRPr="0041578A">
              <w:rPr>
                <w:rFonts w:asciiTheme="minorEastAsia" w:hAnsiTheme="minorEastAsia"/>
                <w:szCs w:val="21"/>
              </w:rPr>
              <w:t>28.07%</w:t>
            </w:r>
          </w:p>
        </w:tc>
      </w:tr>
      <w:tr w:rsidR="006909C3" w14:paraId="2192B6EA" w14:textId="77777777" w:rsidTr="00353119">
        <w:tc>
          <w:tcPr>
            <w:tcW w:w="634" w:type="dxa"/>
          </w:tcPr>
          <w:p w14:paraId="16E7532F" w14:textId="62C826A5" w:rsidR="006909C3" w:rsidRDefault="006909C3" w:rsidP="006909C3">
            <w:pPr>
              <w:jc w:val="center"/>
              <w:rPr>
                <w:rFonts w:asciiTheme="minorEastAsia" w:hAnsiTheme="minorEastAsia"/>
                <w:szCs w:val="21"/>
              </w:rPr>
            </w:pPr>
            <w:bookmarkStart w:id="0" w:name="_GoBack"/>
            <w:bookmarkEnd w:id="0"/>
            <w:r>
              <w:rPr>
                <w:rFonts w:asciiTheme="minorEastAsia" w:hAnsiTheme="minorEastAsia"/>
                <w:szCs w:val="21"/>
              </w:rPr>
              <w:t>3</w:t>
            </w:r>
          </w:p>
        </w:tc>
        <w:tc>
          <w:tcPr>
            <w:tcW w:w="2136" w:type="dxa"/>
          </w:tcPr>
          <w:p w14:paraId="436EFA15" w14:textId="77777777" w:rsidR="006909C3" w:rsidRDefault="006909C3" w:rsidP="006909C3">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558A6B01" w:rsidR="006909C3" w:rsidRPr="00096902" w:rsidRDefault="006909C3" w:rsidP="006909C3">
            <w:pPr>
              <w:jc w:val="center"/>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00,000,000.00</w:t>
            </w:r>
          </w:p>
        </w:tc>
        <w:tc>
          <w:tcPr>
            <w:tcW w:w="2976" w:type="dxa"/>
          </w:tcPr>
          <w:p w14:paraId="33F037A0" w14:textId="56670767" w:rsidR="006909C3" w:rsidRPr="00096902" w:rsidRDefault="006909C3" w:rsidP="006909C3">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63438A7A"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w:t>
      </w:r>
      <w:r w:rsidR="00C6254D">
        <w:rPr>
          <w:rFonts w:asciiTheme="minorEastAsia" w:hAnsiTheme="minorEastAsia"/>
          <w:szCs w:val="21"/>
        </w:rPr>
        <w:t>20</w:t>
      </w:r>
      <w:r>
        <w:rPr>
          <w:rFonts w:asciiTheme="minorEastAsia" w:hAnsiTheme="minorEastAsia" w:hint="eastAsia"/>
          <w:szCs w:val="21"/>
        </w:rPr>
        <w:t>年</w:t>
      </w:r>
      <w:r w:rsidR="00C6254D">
        <w:rPr>
          <w:rFonts w:asciiTheme="minorEastAsia" w:hAnsiTheme="minorEastAsia"/>
          <w:szCs w:val="21"/>
        </w:rPr>
        <w:t>3</w:t>
      </w:r>
      <w:r>
        <w:rPr>
          <w:rFonts w:asciiTheme="minorEastAsia" w:hAnsiTheme="minorEastAsia" w:hint="eastAsia"/>
          <w:szCs w:val="21"/>
        </w:rPr>
        <w:t>月</w:t>
      </w:r>
      <w:r w:rsidR="00E46A42">
        <w:rPr>
          <w:rFonts w:asciiTheme="minorEastAsia" w:hAnsiTheme="minorEastAsia"/>
          <w:szCs w:val="21"/>
        </w:rPr>
        <w:t>3</w:t>
      </w:r>
      <w:r w:rsidR="00592195">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jc w:val="center"/>
        <w:tblLayout w:type="fixed"/>
        <w:tblLook w:val="04A0" w:firstRow="1" w:lastRow="0" w:firstColumn="1" w:lastColumn="0" w:noHBand="0" w:noVBand="1"/>
      </w:tblPr>
      <w:tblGrid>
        <w:gridCol w:w="704"/>
        <w:gridCol w:w="2693"/>
        <w:gridCol w:w="2268"/>
        <w:gridCol w:w="2631"/>
      </w:tblGrid>
      <w:tr w:rsidR="00C50920" w14:paraId="753D6217" w14:textId="77777777" w:rsidTr="0041578A">
        <w:trPr>
          <w:trHeight w:val="306"/>
          <w:jc w:val="center"/>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41578A" w14:paraId="483A4095" w14:textId="77777777" w:rsidTr="0041578A">
        <w:trPr>
          <w:jc w:val="center"/>
        </w:trPr>
        <w:tc>
          <w:tcPr>
            <w:tcW w:w="704" w:type="dxa"/>
          </w:tcPr>
          <w:p w14:paraId="4EE9030B" w14:textId="77777777"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1</w:t>
            </w:r>
          </w:p>
        </w:tc>
        <w:tc>
          <w:tcPr>
            <w:tcW w:w="2693" w:type="dxa"/>
            <w:vAlign w:val="bottom"/>
          </w:tcPr>
          <w:p w14:paraId="5C268C0B" w14:textId="6870BDD6" w:rsidR="0041578A" w:rsidRPr="00096902" w:rsidRDefault="0041578A" w:rsidP="0041578A">
            <w:pPr>
              <w:jc w:val="center"/>
              <w:rPr>
                <w:rFonts w:asciiTheme="minorEastAsia" w:hAnsiTheme="minorEastAsia"/>
                <w:szCs w:val="21"/>
              </w:rPr>
            </w:pPr>
            <w:r w:rsidRPr="0041578A">
              <w:rPr>
                <w:rFonts w:asciiTheme="minorEastAsia" w:hAnsiTheme="minorEastAsia" w:hint="eastAsia"/>
                <w:szCs w:val="21"/>
              </w:rPr>
              <w:t>贵阳贵银金融租赁有限责任公司同业借款</w:t>
            </w:r>
          </w:p>
        </w:tc>
        <w:tc>
          <w:tcPr>
            <w:tcW w:w="2268" w:type="dxa"/>
            <w:vAlign w:val="center"/>
          </w:tcPr>
          <w:p w14:paraId="4DD77409" w14:textId="39F60AB1"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100,000,000.00</w:t>
            </w:r>
          </w:p>
        </w:tc>
        <w:tc>
          <w:tcPr>
            <w:tcW w:w="2631" w:type="dxa"/>
            <w:vAlign w:val="center"/>
          </w:tcPr>
          <w:p w14:paraId="5D8B68A4" w14:textId="2F05085C" w:rsidR="0041578A" w:rsidRPr="00096902" w:rsidRDefault="0041578A" w:rsidP="0041578A">
            <w:pPr>
              <w:jc w:val="center"/>
              <w:rPr>
                <w:rFonts w:asciiTheme="minorEastAsia" w:hAnsiTheme="minorEastAsia"/>
                <w:szCs w:val="21"/>
              </w:rPr>
            </w:pPr>
            <w:r w:rsidRPr="0041578A">
              <w:rPr>
                <w:rFonts w:asciiTheme="minorEastAsia" w:hAnsiTheme="minorEastAsia"/>
                <w:szCs w:val="21"/>
              </w:rPr>
              <w:t>20.00%</w:t>
            </w:r>
          </w:p>
        </w:tc>
      </w:tr>
      <w:tr w:rsidR="0041578A" w14:paraId="00EFEF50" w14:textId="77777777" w:rsidTr="0041578A">
        <w:trPr>
          <w:jc w:val="center"/>
        </w:trPr>
        <w:tc>
          <w:tcPr>
            <w:tcW w:w="704" w:type="dxa"/>
          </w:tcPr>
          <w:p w14:paraId="2FFF8836" w14:textId="2B8C5A55"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2</w:t>
            </w:r>
          </w:p>
        </w:tc>
        <w:tc>
          <w:tcPr>
            <w:tcW w:w="2693" w:type="dxa"/>
            <w:vAlign w:val="bottom"/>
          </w:tcPr>
          <w:p w14:paraId="7919582E" w14:textId="482F9F25"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17渝高新ZR001</w:t>
            </w:r>
          </w:p>
        </w:tc>
        <w:tc>
          <w:tcPr>
            <w:tcW w:w="2268" w:type="dxa"/>
            <w:vAlign w:val="center"/>
          </w:tcPr>
          <w:p w14:paraId="5C58D15F" w14:textId="01082412" w:rsidR="0041578A" w:rsidRPr="00096902" w:rsidRDefault="0041578A" w:rsidP="0041578A">
            <w:pPr>
              <w:jc w:val="center"/>
              <w:rPr>
                <w:rFonts w:asciiTheme="minorEastAsia" w:hAnsiTheme="minorEastAsia"/>
                <w:szCs w:val="21"/>
              </w:rPr>
            </w:pPr>
            <w:r w:rsidRPr="0041578A">
              <w:rPr>
                <w:rFonts w:asciiTheme="minorEastAsia" w:hAnsiTheme="minorEastAsia"/>
                <w:szCs w:val="21"/>
              </w:rPr>
              <w:t>46,340,475.41</w:t>
            </w:r>
          </w:p>
        </w:tc>
        <w:tc>
          <w:tcPr>
            <w:tcW w:w="2631" w:type="dxa"/>
            <w:vAlign w:val="bottom"/>
          </w:tcPr>
          <w:p w14:paraId="566522AB" w14:textId="305C6722" w:rsidR="0041578A" w:rsidRPr="00096902" w:rsidRDefault="0041578A" w:rsidP="0041578A">
            <w:pPr>
              <w:jc w:val="center"/>
              <w:rPr>
                <w:rFonts w:asciiTheme="minorEastAsia" w:hAnsiTheme="minorEastAsia"/>
                <w:szCs w:val="21"/>
              </w:rPr>
            </w:pPr>
            <w:r w:rsidRPr="0041578A">
              <w:rPr>
                <w:rFonts w:asciiTheme="minorEastAsia" w:hAnsiTheme="minorEastAsia"/>
                <w:szCs w:val="21"/>
              </w:rPr>
              <w:t>9.27%</w:t>
            </w:r>
          </w:p>
        </w:tc>
      </w:tr>
      <w:tr w:rsidR="0041578A" w14:paraId="74ABC67A" w14:textId="77777777" w:rsidTr="0041578A">
        <w:trPr>
          <w:jc w:val="center"/>
        </w:trPr>
        <w:tc>
          <w:tcPr>
            <w:tcW w:w="704" w:type="dxa"/>
          </w:tcPr>
          <w:p w14:paraId="3B472AC0" w14:textId="4272340A"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3</w:t>
            </w:r>
          </w:p>
        </w:tc>
        <w:tc>
          <w:tcPr>
            <w:tcW w:w="2693" w:type="dxa"/>
            <w:vAlign w:val="bottom"/>
          </w:tcPr>
          <w:p w14:paraId="343FDFB8" w14:textId="65F93790"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17川成都经开国投ZR002</w:t>
            </w:r>
          </w:p>
        </w:tc>
        <w:tc>
          <w:tcPr>
            <w:tcW w:w="2268" w:type="dxa"/>
            <w:vAlign w:val="center"/>
          </w:tcPr>
          <w:p w14:paraId="117652C3" w14:textId="63ED5DB7" w:rsidR="0041578A" w:rsidRPr="00096902" w:rsidRDefault="0041578A" w:rsidP="0041578A">
            <w:pPr>
              <w:jc w:val="center"/>
              <w:rPr>
                <w:rFonts w:asciiTheme="minorEastAsia" w:hAnsiTheme="minorEastAsia"/>
                <w:szCs w:val="21"/>
              </w:rPr>
            </w:pPr>
            <w:r w:rsidRPr="0041578A">
              <w:rPr>
                <w:rFonts w:asciiTheme="minorEastAsia" w:hAnsiTheme="minorEastAsia"/>
                <w:szCs w:val="21"/>
              </w:rPr>
              <w:t>46,103,606.56</w:t>
            </w:r>
          </w:p>
        </w:tc>
        <w:tc>
          <w:tcPr>
            <w:tcW w:w="2631" w:type="dxa"/>
            <w:vAlign w:val="bottom"/>
          </w:tcPr>
          <w:p w14:paraId="0351D02B" w14:textId="24311D12" w:rsidR="0041578A" w:rsidRPr="00096902" w:rsidRDefault="0041578A" w:rsidP="0041578A">
            <w:pPr>
              <w:jc w:val="center"/>
              <w:rPr>
                <w:rFonts w:asciiTheme="minorEastAsia" w:hAnsiTheme="minorEastAsia"/>
                <w:szCs w:val="21"/>
              </w:rPr>
            </w:pPr>
            <w:r w:rsidRPr="0041578A">
              <w:rPr>
                <w:rFonts w:asciiTheme="minorEastAsia" w:hAnsiTheme="minorEastAsia"/>
                <w:szCs w:val="21"/>
              </w:rPr>
              <w:t>9.22%</w:t>
            </w:r>
          </w:p>
        </w:tc>
      </w:tr>
      <w:tr w:rsidR="0041578A" w14:paraId="6AFE886D" w14:textId="77777777" w:rsidTr="0041578A">
        <w:trPr>
          <w:jc w:val="center"/>
        </w:trPr>
        <w:tc>
          <w:tcPr>
            <w:tcW w:w="704" w:type="dxa"/>
          </w:tcPr>
          <w:p w14:paraId="6C1283C9" w14:textId="32433036"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4</w:t>
            </w:r>
          </w:p>
        </w:tc>
        <w:tc>
          <w:tcPr>
            <w:tcW w:w="2693" w:type="dxa"/>
            <w:vAlign w:val="bottom"/>
          </w:tcPr>
          <w:p w14:paraId="1D569960" w14:textId="24D58973"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17渝南州水务ZR001</w:t>
            </w:r>
          </w:p>
        </w:tc>
        <w:tc>
          <w:tcPr>
            <w:tcW w:w="2268" w:type="dxa"/>
            <w:vAlign w:val="center"/>
          </w:tcPr>
          <w:p w14:paraId="1E46CC52" w14:textId="0C517522" w:rsidR="0041578A" w:rsidRPr="00096902" w:rsidRDefault="0041578A" w:rsidP="0041578A">
            <w:pPr>
              <w:jc w:val="center"/>
              <w:rPr>
                <w:rFonts w:asciiTheme="minorEastAsia" w:hAnsiTheme="minorEastAsia"/>
                <w:szCs w:val="21"/>
              </w:rPr>
            </w:pPr>
            <w:r w:rsidRPr="0041578A">
              <w:rPr>
                <w:rFonts w:asciiTheme="minorEastAsia" w:hAnsiTheme="minorEastAsia"/>
                <w:szCs w:val="21"/>
              </w:rPr>
              <w:t>45,810,491.80</w:t>
            </w:r>
          </w:p>
        </w:tc>
        <w:tc>
          <w:tcPr>
            <w:tcW w:w="2631" w:type="dxa"/>
            <w:vAlign w:val="bottom"/>
          </w:tcPr>
          <w:p w14:paraId="1D193477" w14:textId="2C074A5B" w:rsidR="0041578A" w:rsidRPr="00096902" w:rsidRDefault="0041578A" w:rsidP="0041578A">
            <w:pPr>
              <w:jc w:val="center"/>
              <w:rPr>
                <w:rFonts w:asciiTheme="minorEastAsia" w:hAnsiTheme="minorEastAsia"/>
                <w:szCs w:val="21"/>
              </w:rPr>
            </w:pPr>
            <w:r w:rsidRPr="0041578A">
              <w:rPr>
                <w:rFonts w:asciiTheme="minorEastAsia" w:hAnsiTheme="minorEastAsia"/>
                <w:szCs w:val="21"/>
              </w:rPr>
              <w:t>9.16%</w:t>
            </w:r>
          </w:p>
        </w:tc>
      </w:tr>
      <w:tr w:rsidR="0041578A" w14:paraId="511F28C6" w14:textId="77777777" w:rsidTr="0041578A">
        <w:trPr>
          <w:jc w:val="center"/>
        </w:trPr>
        <w:tc>
          <w:tcPr>
            <w:tcW w:w="704" w:type="dxa"/>
          </w:tcPr>
          <w:p w14:paraId="3E8E37F4" w14:textId="569D5385"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5</w:t>
            </w:r>
          </w:p>
        </w:tc>
        <w:tc>
          <w:tcPr>
            <w:tcW w:w="2693" w:type="dxa"/>
            <w:vAlign w:val="bottom"/>
          </w:tcPr>
          <w:p w14:paraId="71056F11" w14:textId="2F06B71A"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18合川城投PPN002</w:t>
            </w:r>
          </w:p>
        </w:tc>
        <w:tc>
          <w:tcPr>
            <w:tcW w:w="2268" w:type="dxa"/>
            <w:vAlign w:val="center"/>
          </w:tcPr>
          <w:p w14:paraId="7882E0CC" w14:textId="0A60BCF0" w:rsidR="0041578A" w:rsidRPr="00096902" w:rsidRDefault="0041578A" w:rsidP="0041578A">
            <w:pPr>
              <w:jc w:val="center"/>
              <w:rPr>
                <w:rFonts w:asciiTheme="minorEastAsia" w:hAnsiTheme="minorEastAsia"/>
                <w:szCs w:val="21"/>
              </w:rPr>
            </w:pPr>
            <w:r w:rsidRPr="0041578A">
              <w:rPr>
                <w:rFonts w:asciiTheme="minorEastAsia" w:hAnsiTheme="minorEastAsia"/>
                <w:szCs w:val="21"/>
              </w:rPr>
              <w:t>45,688,831.97</w:t>
            </w:r>
          </w:p>
        </w:tc>
        <w:tc>
          <w:tcPr>
            <w:tcW w:w="2631" w:type="dxa"/>
            <w:vAlign w:val="bottom"/>
          </w:tcPr>
          <w:p w14:paraId="4FF6FB9A" w14:textId="3C3D050D" w:rsidR="0041578A" w:rsidRPr="00096902" w:rsidRDefault="0041578A" w:rsidP="0041578A">
            <w:pPr>
              <w:jc w:val="center"/>
              <w:rPr>
                <w:rFonts w:asciiTheme="minorEastAsia" w:hAnsiTheme="minorEastAsia"/>
                <w:szCs w:val="21"/>
              </w:rPr>
            </w:pPr>
            <w:r w:rsidRPr="0041578A">
              <w:rPr>
                <w:rFonts w:asciiTheme="minorEastAsia" w:hAnsiTheme="minorEastAsia"/>
                <w:szCs w:val="21"/>
              </w:rPr>
              <w:t>9.14%</w:t>
            </w:r>
          </w:p>
        </w:tc>
      </w:tr>
      <w:tr w:rsidR="0041578A" w14:paraId="47CD3E20" w14:textId="77777777" w:rsidTr="0041578A">
        <w:trPr>
          <w:jc w:val="center"/>
        </w:trPr>
        <w:tc>
          <w:tcPr>
            <w:tcW w:w="704" w:type="dxa"/>
          </w:tcPr>
          <w:p w14:paraId="29D50832" w14:textId="6C99EF3A"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6</w:t>
            </w:r>
          </w:p>
        </w:tc>
        <w:tc>
          <w:tcPr>
            <w:tcW w:w="2693" w:type="dxa"/>
            <w:vAlign w:val="bottom"/>
          </w:tcPr>
          <w:p w14:paraId="6CA82075" w14:textId="2FAB2E5F"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17川新益州城建ZR001</w:t>
            </w:r>
          </w:p>
        </w:tc>
        <w:tc>
          <w:tcPr>
            <w:tcW w:w="2268" w:type="dxa"/>
            <w:vAlign w:val="center"/>
          </w:tcPr>
          <w:p w14:paraId="08F20E7C" w14:textId="3373255C" w:rsidR="0041578A" w:rsidRPr="00096902" w:rsidRDefault="0041578A" w:rsidP="0041578A">
            <w:pPr>
              <w:jc w:val="center"/>
              <w:rPr>
                <w:rFonts w:asciiTheme="minorEastAsia" w:hAnsiTheme="minorEastAsia"/>
                <w:szCs w:val="21"/>
              </w:rPr>
            </w:pPr>
            <w:r w:rsidRPr="0041578A">
              <w:rPr>
                <w:rFonts w:asciiTheme="minorEastAsia" w:hAnsiTheme="minorEastAsia"/>
                <w:szCs w:val="21"/>
              </w:rPr>
              <w:t>40,426,775.96</w:t>
            </w:r>
          </w:p>
        </w:tc>
        <w:tc>
          <w:tcPr>
            <w:tcW w:w="2631" w:type="dxa"/>
            <w:vAlign w:val="bottom"/>
          </w:tcPr>
          <w:p w14:paraId="492266C4" w14:textId="636D03DA" w:rsidR="0041578A" w:rsidRPr="00096902" w:rsidRDefault="0041578A" w:rsidP="0041578A">
            <w:pPr>
              <w:jc w:val="center"/>
              <w:rPr>
                <w:rFonts w:asciiTheme="minorEastAsia" w:hAnsiTheme="minorEastAsia"/>
                <w:szCs w:val="21"/>
              </w:rPr>
            </w:pPr>
            <w:r w:rsidRPr="0041578A">
              <w:rPr>
                <w:rFonts w:asciiTheme="minorEastAsia" w:hAnsiTheme="minorEastAsia"/>
                <w:szCs w:val="21"/>
              </w:rPr>
              <w:t>8.09%</w:t>
            </w:r>
          </w:p>
        </w:tc>
      </w:tr>
      <w:tr w:rsidR="0041578A" w14:paraId="3D18606B" w14:textId="77777777" w:rsidTr="0041578A">
        <w:trPr>
          <w:jc w:val="center"/>
        </w:trPr>
        <w:tc>
          <w:tcPr>
            <w:tcW w:w="704" w:type="dxa"/>
          </w:tcPr>
          <w:p w14:paraId="0383B453" w14:textId="687B8312"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5A9C0A4B" w:rsidR="0041578A" w:rsidRPr="00096902" w:rsidRDefault="0041578A" w:rsidP="0041578A">
            <w:pPr>
              <w:jc w:val="center"/>
              <w:rPr>
                <w:rFonts w:asciiTheme="minorEastAsia" w:hAnsiTheme="minorEastAsia"/>
                <w:szCs w:val="21"/>
              </w:rPr>
            </w:pPr>
            <w:r>
              <w:rPr>
                <w:rFonts w:asciiTheme="minorEastAsia" w:hAnsiTheme="minorEastAsia" w:hint="eastAsia"/>
                <w:szCs w:val="21"/>
              </w:rPr>
              <w:t>银行存款</w:t>
            </w:r>
          </w:p>
        </w:tc>
        <w:tc>
          <w:tcPr>
            <w:tcW w:w="2268" w:type="dxa"/>
            <w:vAlign w:val="bottom"/>
          </w:tcPr>
          <w:p w14:paraId="7AEA0475" w14:textId="253490A3" w:rsidR="0041578A" w:rsidRPr="00096902" w:rsidRDefault="0041578A" w:rsidP="0041578A">
            <w:pPr>
              <w:jc w:val="center"/>
              <w:rPr>
                <w:rFonts w:asciiTheme="minorEastAsia" w:hAnsiTheme="minorEastAsia"/>
                <w:szCs w:val="21"/>
              </w:rPr>
            </w:pPr>
            <w:r w:rsidRPr="0041578A">
              <w:rPr>
                <w:rFonts w:asciiTheme="minorEastAsia" w:hAnsiTheme="minorEastAsia"/>
                <w:szCs w:val="21"/>
              </w:rPr>
              <w:t xml:space="preserve">40,338,315.56 </w:t>
            </w:r>
          </w:p>
        </w:tc>
        <w:tc>
          <w:tcPr>
            <w:tcW w:w="2631" w:type="dxa"/>
            <w:vAlign w:val="bottom"/>
          </w:tcPr>
          <w:p w14:paraId="7EB9E879" w14:textId="6C9D7602" w:rsidR="0041578A" w:rsidRPr="00096902" w:rsidRDefault="0041578A" w:rsidP="0041578A">
            <w:pPr>
              <w:jc w:val="center"/>
              <w:rPr>
                <w:rFonts w:asciiTheme="minorEastAsia" w:hAnsiTheme="minorEastAsia"/>
                <w:szCs w:val="21"/>
              </w:rPr>
            </w:pPr>
            <w:r w:rsidRPr="0041578A">
              <w:rPr>
                <w:rFonts w:asciiTheme="minorEastAsia" w:hAnsiTheme="minorEastAsia"/>
                <w:szCs w:val="21"/>
              </w:rPr>
              <w:t>8.07%</w:t>
            </w:r>
          </w:p>
        </w:tc>
      </w:tr>
      <w:tr w:rsidR="0041578A" w14:paraId="345492B1" w14:textId="77777777" w:rsidTr="0041578A">
        <w:trPr>
          <w:jc w:val="center"/>
        </w:trPr>
        <w:tc>
          <w:tcPr>
            <w:tcW w:w="704" w:type="dxa"/>
          </w:tcPr>
          <w:p w14:paraId="2E7D367F" w14:textId="6720E79D" w:rsidR="0041578A" w:rsidRPr="007418F7" w:rsidRDefault="0041578A" w:rsidP="0041578A">
            <w:pPr>
              <w:jc w:val="center"/>
              <w:rPr>
                <w:rFonts w:asciiTheme="minorEastAsia" w:hAnsiTheme="minorEastAsia"/>
                <w:szCs w:val="21"/>
              </w:rPr>
            </w:pPr>
            <w:r w:rsidRPr="007418F7">
              <w:rPr>
                <w:rFonts w:asciiTheme="minorEastAsia" w:hAnsiTheme="minorEastAsia"/>
                <w:szCs w:val="21"/>
              </w:rPr>
              <w:t>8</w:t>
            </w:r>
          </w:p>
        </w:tc>
        <w:tc>
          <w:tcPr>
            <w:tcW w:w="2693" w:type="dxa"/>
            <w:vAlign w:val="bottom"/>
          </w:tcPr>
          <w:p w14:paraId="14A06514" w14:textId="375EA8D2"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19宁城02</w:t>
            </w:r>
          </w:p>
        </w:tc>
        <w:tc>
          <w:tcPr>
            <w:tcW w:w="2268" w:type="dxa"/>
            <w:vAlign w:val="center"/>
          </w:tcPr>
          <w:p w14:paraId="685279EB" w14:textId="1AC58BFF" w:rsidR="0041578A" w:rsidRPr="00096902" w:rsidRDefault="0041578A" w:rsidP="0041578A">
            <w:pPr>
              <w:jc w:val="center"/>
              <w:rPr>
                <w:rFonts w:asciiTheme="minorEastAsia" w:hAnsiTheme="minorEastAsia"/>
                <w:szCs w:val="21"/>
              </w:rPr>
            </w:pPr>
            <w:r w:rsidRPr="0041578A">
              <w:rPr>
                <w:rFonts w:asciiTheme="minorEastAsia" w:hAnsiTheme="minorEastAsia"/>
                <w:szCs w:val="21"/>
              </w:rPr>
              <w:t>40,000,000.00</w:t>
            </w:r>
          </w:p>
        </w:tc>
        <w:tc>
          <w:tcPr>
            <w:tcW w:w="2631" w:type="dxa"/>
            <w:vAlign w:val="bottom"/>
          </w:tcPr>
          <w:p w14:paraId="3F1C1B6A" w14:textId="27988596" w:rsidR="0041578A" w:rsidRPr="00096902" w:rsidRDefault="0041578A" w:rsidP="0041578A">
            <w:pPr>
              <w:jc w:val="center"/>
              <w:rPr>
                <w:rFonts w:asciiTheme="minorEastAsia" w:hAnsiTheme="minorEastAsia"/>
                <w:szCs w:val="21"/>
              </w:rPr>
            </w:pPr>
            <w:r w:rsidRPr="0041578A">
              <w:rPr>
                <w:rFonts w:asciiTheme="minorEastAsia" w:hAnsiTheme="minorEastAsia"/>
                <w:szCs w:val="21"/>
              </w:rPr>
              <w:t>8.00%</w:t>
            </w:r>
          </w:p>
        </w:tc>
      </w:tr>
      <w:tr w:rsidR="0041578A" w14:paraId="0E56752F" w14:textId="77777777" w:rsidTr="0041578A">
        <w:trPr>
          <w:jc w:val="center"/>
        </w:trPr>
        <w:tc>
          <w:tcPr>
            <w:tcW w:w="704" w:type="dxa"/>
          </w:tcPr>
          <w:p w14:paraId="317507EE" w14:textId="337F71E4"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9</w:t>
            </w:r>
          </w:p>
        </w:tc>
        <w:tc>
          <w:tcPr>
            <w:tcW w:w="2693" w:type="dxa"/>
            <w:vAlign w:val="bottom"/>
          </w:tcPr>
          <w:p w14:paraId="71BE0CAD" w14:textId="457F5914"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17渝惠农投资ZR001</w:t>
            </w:r>
          </w:p>
        </w:tc>
        <w:tc>
          <w:tcPr>
            <w:tcW w:w="2268" w:type="dxa"/>
            <w:vAlign w:val="center"/>
          </w:tcPr>
          <w:p w14:paraId="22F94A2D" w14:textId="21499E11" w:rsidR="0041578A" w:rsidRPr="00096902" w:rsidRDefault="0041578A" w:rsidP="0041578A">
            <w:pPr>
              <w:jc w:val="center"/>
              <w:rPr>
                <w:rFonts w:asciiTheme="minorEastAsia" w:hAnsiTheme="minorEastAsia"/>
                <w:szCs w:val="21"/>
              </w:rPr>
            </w:pPr>
            <w:r w:rsidRPr="0041578A">
              <w:rPr>
                <w:rFonts w:asciiTheme="minorEastAsia" w:hAnsiTheme="minorEastAsia"/>
                <w:szCs w:val="21"/>
              </w:rPr>
              <w:t>30,729,180.33</w:t>
            </w:r>
          </w:p>
        </w:tc>
        <w:tc>
          <w:tcPr>
            <w:tcW w:w="2631" w:type="dxa"/>
            <w:vAlign w:val="bottom"/>
          </w:tcPr>
          <w:p w14:paraId="509F679B" w14:textId="2041AC19" w:rsidR="0041578A" w:rsidRPr="00096902" w:rsidRDefault="0041578A" w:rsidP="0041578A">
            <w:pPr>
              <w:jc w:val="center"/>
              <w:rPr>
                <w:rFonts w:asciiTheme="minorEastAsia" w:hAnsiTheme="minorEastAsia"/>
                <w:szCs w:val="21"/>
              </w:rPr>
            </w:pPr>
            <w:r w:rsidRPr="0041578A">
              <w:rPr>
                <w:rFonts w:asciiTheme="minorEastAsia" w:hAnsiTheme="minorEastAsia"/>
                <w:szCs w:val="21"/>
              </w:rPr>
              <w:t>6.15%</w:t>
            </w:r>
          </w:p>
        </w:tc>
      </w:tr>
      <w:tr w:rsidR="0041578A" w14:paraId="31C9BF01" w14:textId="77777777" w:rsidTr="0041578A">
        <w:trPr>
          <w:jc w:val="center"/>
        </w:trPr>
        <w:tc>
          <w:tcPr>
            <w:tcW w:w="704" w:type="dxa"/>
          </w:tcPr>
          <w:p w14:paraId="1D82D0A1" w14:textId="4963E966" w:rsidR="0041578A" w:rsidRPr="007418F7" w:rsidRDefault="0041578A" w:rsidP="0041578A">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vAlign w:val="bottom"/>
          </w:tcPr>
          <w:p w14:paraId="3E8A7E6A" w14:textId="41893779" w:rsidR="0041578A" w:rsidRPr="00096902" w:rsidRDefault="0041578A" w:rsidP="0041578A">
            <w:pPr>
              <w:jc w:val="center"/>
              <w:rPr>
                <w:rFonts w:asciiTheme="minorEastAsia" w:hAnsiTheme="minorEastAsia"/>
                <w:szCs w:val="21"/>
              </w:rPr>
            </w:pPr>
            <w:r w:rsidRPr="0041578A">
              <w:rPr>
                <w:rFonts w:asciiTheme="minorEastAsia" w:hAnsiTheme="minorEastAsia"/>
                <w:szCs w:val="21"/>
              </w:rPr>
              <w:t>17渝兴永ZR001</w:t>
            </w:r>
          </w:p>
        </w:tc>
        <w:tc>
          <w:tcPr>
            <w:tcW w:w="2268" w:type="dxa"/>
            <w:vAlign w:val="center"/>
          </w:tcPr>
          <w:p w14:paraId="62207EC0" w14:textId="06EC7A99" w:rsidR="0041578A" w:rsidRPr="00096902" w:rsidRDefault="0041578A" w:rsidP="0041578A">
            <w:pPr>
              <w:jc w:val="center"/>
              <w:rPr>
                <w:rFonts w:asciiTheme="minorEastAsia" w:hAnsiTheme="minorEastAsia"/>
                <w:szCs w:val="21"/>
              </w:rPr>
            </w:pPr>
            <w:r w:rsidRPr="0041578A">
              <w:rPr>
                <w:rFonts w:asciiTheme="minorEastAsia" w:hAnsiTheme="minorEastAsia"/>
                <w:szCs w:val="21"/>
              </w:rPr>
              <w:t>25,235,327.87</w:t>
            </w:r>
          </w:p>
        </w:tc>
        <w:tc>
          <w:tcPr>
            <w:tcW w:w="2631" w:type="dxa"/>
            <w:vAlign w:val="bottom"/>
          </w:tcPr>
          <w:p w14:paraId="13AB6837" w14:textId="3927E14D" w:rsidR="0041578A" w:rsidRPr="00096902" w:rsidRDefault="0041578A" w:rsidP="0041578A">
            <w:pPr>
              <w:jc w:val="center"/>
              <w:rPr>
                <w:rFonts w:asciiTheme="minorEastAsia" w:hAnsiTheme="minorEastAsia"/>
                <w:szCs w:val="21"/>
              </w:rPr>
            </w:pPr>
            <w:r w:rsidRPr="0041578A">
              <w:rPr>
                <w:rFonts w:asciiTheme="minorEastAsia" w:hAnsiTheme="minorEastAsia"/>
                <w:szCs w:val="21"/>
              </w:rPr>
              <w:t>5.05%</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1"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59E9D2B6"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w:t>
      </w:r>
      <w:r w:rsidR="00620A63">
        <w:rPr>
          <w:rFonts w:asciiTheme="minorEastAsia" w:hAnsiTheme="minorEastAsia"/>
          <w:szCs w:val="21"/>
        </w:rPr>
        <w:t>20</w:t>
      </w:r>
      <w:r>
        <w:rPr>
          <w:rFonts w:asciiTheme="minorEastAsia" w:hAnsiTheme="minorEastAsia"/>
          <w:szCs w:val="21"/>
        </w:rPr>
        <w:t>年</w:t>
      </w:r>
      <w:r w:rsidR="00C6254D">
        <w:rPr>
          <w:rFonts w:asciiTheme="minorEastAsia" w:hAnsiTheme="minorEastAsia"/>
          <w:szCs w:val="21"/>
        </w:rPr>
        <w:t>4</w:t>
      </w:r>
      <w:r>
        <w:rPr>
          <w:rFonts w:asciiTheme="minorEastAsia" w:hAnsiTheme="minorEastAsia"/>
          <w:szCs w:val="21"/>
        </w:rPr>
        <w:t>月</w:t>
      </w:r>
      <w:r w:rsidR="00C6254D">
        <w:rPr>
          <w:rFonts w:asciiTheme="minorEastAsia" w:hAnsiTheme="minorEastAsia"/>
          <w:szCs w:val="21"/>
        </w:rPr>
        <w:t>9</w:t>
      </w:r>
      <w:r>
        <w:rPr>
          <w:rFonts w:asciiTheme="minorEastAsia" w:hAnsiTheme="minorEastAsia"/>
          <w:szCs w:val="21"/>
        </w:rPr>
        <w:t>日</w:t>
      </w:r>
    </w:p>
    <w:bookmarkEnd w:id="1"/>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5ADBB" w14:textId="77777777" w:rsidR="00B802FF" w:rsidRDefault="00B802FF" w:rsidP="00C50920">
      <w:r>
        <w:separator/>
      </w:r>
    </w:p>
  </w:endnote>
  <w:endnote w:type="continuationSeparator" w:id="0">
    <w:p w14:paraId="42B559F2" w14:textId="77777777" w:rsidR="00B802FF" w:rsidRDefault="00B802FF"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407E" w14:textId="77777777" w:rsidR="00B802FF" w:rsidRDefault="00B802FF" w:rsidP="00C50920">
      <w:r>
        <w:separator/>
      </w:r>
    </w:p>
  </w:footnote>
  <w:footnote w:type="continuationSeparator" w:id="0">
    <w:p w14:paraId="7978EF76" w14:textId="77777777" w:rsidR="00B802FF" w:rsidRDefault="00B802FF"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64AC4"/>
    <w:rsid w:val="002A26CE"/>
    <w:rsid w:val="002A4A83"/>
    <w:rsid w:val="002E30B7"/>
    <w:rsid w:val="003354AC"/>
    <w:rsid w:val="0033699C"/>
    <w:rsid w:val="00336C9A"/>
    <w:rsid w:val="003B44AB"/>
    <w:rsid w:val="003D11C5"/>
    <w:rsid w:val="003D3EAA"/>
    <w:rsid w:val="003D66DD"/>
    <w:rsid w:val="0041578A"/>
    <w:rsid w:val="00426A79"/>
    <w:rsid w:val="00433EE2"/>
    <w:rsid w:val="004348EF"/>
    <w:rsid w:val="004374FB"/>
    <w:rsid w:val="004532F5"/>
    <w:rsid w:val="00460F07"/>
    <w:rsid w:val="0046661B"/>
    <w:rsid w:val="004870F1"/>
    <w:rsid w:val="00493BC8"/>
    <w:rsid w:val="004B4192"/>
    <w:rsid w:val="004C62CF"/>
    <w:rsid w:val="00512C55"/>
    <w:rsid w:val="005232EF"/>
    <w:rsid w:val="00537086"/>
    <w:rsid w:val="00543F1F"/>
    <w:rsid w:val="00545972"/>
    <w:rsid w:val="00567BB9"/>
    <w:rsid w:val="00570857"/>
    <w:rsid w:val="00572A9A"/>
    <w:rsid w:val="00592195"/>
    <w:rsid w:val="005A2114"/>
    <w:rsid w:val="005A6B24"/>
    <w:rsid w:val="005B4C9C"/>
    <w:rsid w:val="005C0BB9"/>
    <w:rsid w:val="005C4161"/>
    <w:rsid w:val="005C6219"/>
    <w:rsid w:val="005C6CDE"/>
    <w:rsid w:val="005E4AE6"/>
    <w:rsid w:val="005E735D"/>
    <w:rsid w:val="005F478D"/>
    <w:rsid w:val="005F6D56"/>
    <w:rsid w:val="006147AF"/>
    <w:rsid w:val="00620A63"/>
    <w:rsid w:val="006517A5"/>
    <w:rsid w:val="00661E05"/>
    <w:rsid w:val="00671A87"/>
    <w:rsid w:val="006731F1"/>
    <w:rsid w:val="006856BB"/>
    <w:rsid w:val="006857E4"/>
    <w:rsid w:val="00685EC8"/>
    <w:rsid w:val="006867E2"/>
    <w:rsid w:val="006909C3"/>
    <w:rsid w:val="006D09DA"/>
    <w:rsid w:val="006D4794"/>
    <w:rsid w:val="006D633D"/>
    <w:rsid w:val="00703C41"/>
    <w:rsid w:val="00707D39"/>
    <w:rsid w:val="00715EC1"/>
    <w:rsid w:val="00721332"/>
    <w:rsid w:val="00721A51"/>
    <w:rsid w:val="007418F7"/>
    <w:rsid w:val="00781C59"/>
    <w:rsid w:val="0078672E"/>
    <w:rsid w:val="00786EF5"/>
    <w:rsid w:val="007C4DBD"/>
    <w:rsid w:val="007E5FB7"/>
    <w:rsid w:val="007F5411"/>
    <w:rsid w:val="00801F46"/>
    <w:rsid w:val="00802BB7"/>
    <w:rsid w:val="00804639"/>
    <w:rsid w:val="00826FAE"/>
    <w:rsid w:val="00841E2B"/>
    <w:rsid w:val="00844899"/>
    <w:rsid w:val="0085061C"/>
    <w:rsid w:val="008577EC"/>
    <w:rsid w:val="008637A9"/>
    <w:rsid w:val="008A3FD6"/>
    <w:rsid w:val="008C20BB"/>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4587"/>
    <w:rsid w:val="00A732B8"/>
    <w:rsid w:val="00A73AE5"/>
    <w:rsid w:val="00A74E07"/>
    <w:rsid w:val="00A8119F"/>
    <w:rsid w:val="00A8163F"/>
    <w:rsid w:val="00A82D5D"/>
    <w:rsid w:val="00A922F7"/>
    <w:rsid w:val="00A95EBC"/>
    <w:rsid w:val="00AA17A4"/>
    <w:rsid w:val="00AC2FB7"/>
    <w:rsid w:val="00B204D4"/>
    <w:rsid w:val="00B24BFA"/>
    <w:rsid w:val="00B27DF9"/>
    <w:rsid w:val="00B35B1E"/>
    <w:rsid w:val="00B43D6F"/>
    <w:rsid w:val="00B802FF"/>
    <w:rsid w:val="00B83910"/>
    <w:rsid w:val="00B96721"/>
    <w:rsid w:val="00BF0F91"/>
    <w:rsid w:val="00C06B78"/>
    <w:rsid w:val="00C32AB7"/>
    <w:rsid w:val="00C34385"/>
    <w:rsid w:val="00C50920"/>
    <w:rsid w:val="00C52B0A"/>
    <w:rsid w:val="00C6254D"/>
    <w:rsid w:val="00C77354"/>
    <w:rsid w:val="00C83943"/>
    <w:rsid w:val="00C9183F"/>
    <w:rsid w:val="00CA4AB1"/>
    <w:rsid w:val="00CC590D"/>
    <w:rsid w:val="00CF6075"/>
    <w:rsid w:val="00D2048F"/>
    <w:rsid w:val="00D2787F"/>
    <w:rsid w:val="00D4177E"/>
    <w:rsid w:val="00D51B12"/>
    <w:rsid w:val="00D62781"/>
    <w:rsid w:val="00D76454"/>
    <w:rsid w:val="00D902C9"/>
    <w:rsid w:val="00DB573B"/>
    <w:rsid w:val="00DC0D91"/>
    <w:rsid w:val="00DD785A"/>
    <w:rsid w:val="00DF1EB7"/>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21245">
      <w:bodyDiv w:val="1"/>
      <w:marLeft w:val="0"/>
      <w:marRight w:val="0"/>
      <w:marTop w:val="0"/>
      <w:marBottom w:val="0"/>
      <w:divBdr>
        <w:top w:val="none" w:sz="0" w:space="0" w:color="auto"/>
        <w:left w:val="none" w:sz="0" w:space="0" w:color="auto"/>
        <w:bottom w:val="none" w:sz="0" w:space="0" w:color="auto"/>
        <w:right w:val="none" w:sz="0" w:space="0" w:color="auto"/>
      </w:divBdr>
    </w:div>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67</cp:revision>
  <cp:lastPrinted>2019-04-10T07:16:00Z</cp:lastPrinted>
  <dcterms:created xsi:type="dcterms:W3CDTF">2019-01-09T08:01:00Z</dcterms:created>
  <dcterms:modified xsi:type="dcterms:W3CDTF">2020-04-09T06:37:00Z</dcterms:modified>
</cp:coreProperties>
</file>