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重庆农村商业银行江渝财富“天添金”2020年第12期</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936,880,000.00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4.2</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w:t>
            </w:r>
            <w:bookmarkStart w:id="1" w:name="_GoBack"/>
            <w:bookmarkEnd w:id="1"/>
            <w:r>
              <w:rPr>
                <w:rFonts w:hint="eastAsia" w:asciiTheme="minorEastAsia" w:hAnsiTheme="minorEastAsia"/>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2020-12-15</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955,563,778.91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1.0199</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1.0199</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685"/>
        <w:gridCol w:w="254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1" w:type="dxa"/>
            <w:vAlign w:val="center"/>
          </w:tcPr>
          <w:p>
            <w:pPr>
              <w:jc w:val="center"/>
              <w:rPr>
                <w:rFonts w:asciiTheme="minorEastAsia" w:hAnsiTheme="minorEastAsia"/>
                <w:szCs w:val="21"/>
              </w:rPr>
            </w:pPr>
            <w:r>
              <w:rPr>
                <w:rFonts w:asciiTheme="minorEastAsia" w:hAnsiTheme="minorEastAsia"/>
                <w:szCs w:val="21"/>
              </w:rPr>
              <w:t>序号</w:t>
            </w:r>
          </w:p>
        </w:tc>
        <w:tc>
          <w:tcPr>
            <w:tcW w:w="3685"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项目</w:t>
            </w:r>
          </w:p>
        </w:tc>
        <w:tc>
          <w:tcPr>
            <w:tcW w:w="2542" w:type="dxa"/>
            <w:vAlign w:val="center"/>
          </w:tcPr>
          <w:p>
            <w:pPr>
              <w:jc w:val="center"/>
              <w:rPr>
                <w:rFonts w:asciiTheme="minorEastAsia" w:hAnsiTheme="minorEastAsia"/>
                <w:szCs w:val="21"/>
              </w:rPr>
            </w:pPr>
            <w:r>
              <w:rPr>
                <w:rFonts w:asciiTheme="minorEastAsia" w:hAnsiTheme="minorEastAsia"/>
                <w:szCs w:val="21"/>
              </w:rPr>
              <w:t>金额</w:t>
            </w:r>
          </w:p>
        </w:tc>
        <w:tc>
          <w:tcPr>
            <w:tcW w:w="1364" w:type="dxa"/>
            <w:vAlign w:val="center"/>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1" w:type="dxa"/>
            <w:vAlign w:val="center"/>
          </w:tcPr>
          <w:p>
            <w:pPr>
              <w:jc w:val="center"/>
              <w:rPr>
                <w:rFonts w:asciiTheme="minorEastAsia" w:hAnsiTheme="minorEastAsia"/>
                <w:szCs w:val="21"/>
              </w:rPr>
            </w:pPr>
            <w:r>
              <w:t>1</w:t>
            </w:r>
          </w:p>
        </w:tc>
        <w:tc>
          <w:tcPr>
            <w:tcW w:w="3685"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债券</w:t>
            </w:r>
          </w:p>
        </w:tc>
        <w:tc>
          <w:tcPr>
            <w:tcW w:w="2542"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854,024,574.14</w:t>
            </w:r>
          </w:p>
        </w:tc>
        <w:tc>
          <w:tcPr>
            <w:tcW w:w="1364" w:type="dxa"/>
            <w:vAlign w:val="center"/>
          </w:tcPr>
          <w:p>
            <w:pPr>
              <w:jc w:val="center"/>
              <w:rPr>
                <w:rFonts w:hint="eastAsia" w:asciiTheme="minorEastAsia" w:hAnsiTheme="minorEastAsia"/>
                <w:szCs w:val="21"/>
              </w:rPr>
            </w:pPr>
            <w:r>
              <w:rPr>
                <w:rFonts w:hint="eastAsia" w:asciiTheme="minorEastAsia" w:hAnsiTheme="minorEastAsia"/>
                <w:szCs w:val="21"/>
              </w:rPr>
              <w:t>88.86%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1" w:type="dxa"/>
            <w:vAlign w:val="center"/>
          </w:tcPr>
          <w:p>
            <w:pPr>
              <w:jc w:val="center"/>
              <w:rPr>
                <w:rFonts w:asciiTheme="minorEastAsia" w:hAnsiTheme="minorEastAsia"/>
                <w:szCs w:val="21"/>
              </w:rPr>
            </w:pPr>
            <w:r>
              <w:t>2</w:t>
            </w:r>
          </w:p>
        </w:tc>
        <w:tc>
          <w:tcPr>
            <w:tcW w:w="3685"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同业往来资产</w:t>
            </w:r>
          </w:p>
        </w:tc>
        <w:tc>
          <w:tcPr>
            <w:tcW w:w="2542"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107,035,584.80</w:t>
            </w:r>
          </w:p>
        </w:tc>
        <w:tc>
          <w:tcPr>
            <w:tcW w:w="1364"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11.14</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1" w:type="dxa"/>
            <w:vAlign w:val="center"/>
          </w:tcPr>
          <w:p>
            <w:pPr>
              <w:jc w:val="center"/>
              <w:rPr>
                <w:rFonts w:asciiTheme="minorEastAsia" w:hAnsiTheme="minorEastAsia"/>
                <w:szCs w:val="21"/>
              </w:rPr>
            </w:pPr>
            <w:r>
              <w:t>4</w:t>
            </w:r>
          </w:p>
        </w:tc>
        <w:tc>
          <w:tcPr>
            <w:tcW w:w="3685" w:type="dxa"/>
            <w:vAlign w:val="center"/>
          </w:tcPr>
          <w:p>
            <w:pPr>
              <w:jc w:val="center"/>
              <w:rPr>
                <w:rFonts w:asciiTheme="minorEastAsia" w:hAnsiTheme="minorEastAsia"/>
                <w:szCs w:val="21"/>
              </w:rPr>
            </w:pPr>
            <w:r>
              <w:t>合计</w:t>
            </w:r>
          </w:p>
        </w:tc>
        <w:tc>
          <w:tcPr>
            <w:tcW w:w="2542" w:type="dxa"/>
            <w:vAlign w:val="center"/>
          </w:tcPr>
          <w:p>
            <w:pPr>
              <w:jc w:val="center"/>
              <w:rPr>
                <w:rFonts w:hint="eastAsia" w:asciiTheme="minorEastAsia" w:hAnsiTheme="minorEastAsia"/>
                <w:szCs w:val="21"/>
              </w:rPr>
            </w:pPr>
            <w:r>
              <w:rPr>
                <w:rFonts w:hint="eastAsia" w:asciiTheme="minorEastAsia" w:hAnsiTheme="minorEastAsia"/>
                <w:szCs w:val="21"/>
              </w:rPr>
              <w:t>961,060,158.94</w:t>
            </w:r>
          </w:p>
        </w:tc>
        <w:tc>
          <w:tcPr>
            <w:tcW w:w="1364" w:type="dxa"/>
            <w:vAlign w:val="center"/>
          </w:tcPr>
          <w:p>
            <w:pPr>
              <w:jc w:val="center"/>
              <w:rPr>
                <w:rFonts w:hint="eastAsia" w:asciiTheme="minorEastAsia" w:hAnsiTheme="minorEastAsia"/>
                <w:szCs w:val="21"/>
              </w:rPr>
            </w:pPr>
            <w:r>
              <w:rPr>
                <w:rFonts w:hint="eastAsia"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Theme="minorEastAsia" w:hAnsiTheme="minorEastAsia"/>
                <w:szCs w:val="21"/>
              </w:rPr>
            </w:pPr>
            <w:r>
              <w:rPr>
                <w:rFonts w:asciiTheme="minorEastAsia" w:hAnsiTheme="minorEastAsia"/>
                <w:szCs w:val="21"/>
              </w:rPr>
              <w:t>序号</w:t>
            </w:r>
          </w:p>
        </w:tc>
        <w:tc>
          <w:tcPr>
            <w:tcW w:w="2835" w:type="dxa"/>
          </w:tcPr>
          <w:p>
            <w:pPr>
              <w:ind w:right="800"/>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 xml:space="preserve">       项目</w:t>
            </w:r>
          </w:p>
        </w:tc>
        <w:tc>
          <w:tcPr>
            <w:tcW w:w="1843" w:type="dxa"/>
          </w:tcPr>
          <w:p>
            <w:pPr>
              <w:jc w:val="center"/>
              <w:rPr>
                <w:rFonts w:asciiTheme="minorEastAsia" w:hAnsiTheme="minorEastAsia"/>
                <w:szCs w:val="21"/>
              </w:rPr>
            </w:pPr>
            <w:r>
              <w:rPr>
                <w:rFonts w:asciiTheme="minorEastAsia" w:hAnsiTheme="minorEastAsia"/>
                <w:szCs w:val="21"/>
              </w:rPr>
              <w:t>金额</w:t>
            </w:r>
          </w:p>
        </w:tc>
        <w:tc>
          <w:tcPr>
            <w:tcW w:w="2914" w:type="dxa"/>
          </w:tcPr>
          <w:p>
            <w:pPr>
              <w:jc w:val="center"/>
              <w:rPr>
                <w:rFonts w:asciiTheme="minorEastAsia" w:hAnsiTheme="minorEastAsia"/>
                <w:szCs w:val="21"/>
              </w:rPr>
            </w:pPr>
            <w:r>
              <w:rPr>
                <w:rFonts w:hint="eastAsia" w:asciiTheme="minorEastAsia" w:hAnsiTheme="minorEastAsia"/>
                <w:szCs w:val="21"/>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top"/>
          </w:tcPr>
          <w:p>
            <w:pPr>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kern w:val="0"/>
                <w:sz w:val="20"/>
                <w:szCs w:val="21"/>
              </w:rPr>
              <w:t>1</w:t>
            </w:r>
          </w:p>
        </w:tc>
        <w:tc>
          <w:tcPr>
            <w:tcW w:w="2835" w:type="dxa"/>
            <w:vAlign w:val="top"/>
          </w:tcPr>
          <w:p>
            <w:pPr>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0</w:t>
            </w:r>
            <w:r>
              <w:rPr>
                <w:rFonts w:hint="default" w:asciiTheme="minorEastAsia" w:hAnsiTheme="minorEastAsia"/>
                <w:szCs w:val="21"/>
                <w:lang w:val="en-US" w:eastAsia="zh-CN"/>
              </w:rPr>
              <w:t>.00%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hint="eastAsia" w:asciiTheme="minorEastAsia" w:hAnsiTheme="minorEastAsia"/>
          <w:szCs w:val="21"/>
        </w:rPr>
      </w:pPr>
      <w:r>
        <w:rPr>
          <w:rFonts w:hint="eastAsia" w:asciiTheme="minorEastAsia" w:hAnsiTheme="minorEastAsia"/>
          <w:szCs w:val="21"/>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08"/>
        <w:gridCol w:w="20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4108" w:type="dxa"/>
            <w:vAlign w:val="center"/>
          </w:tcPr>
          <w:p>
            <w:pPr>
              <w:ind w:right="800"/>
              <w:jc w:val="center"/>
              <w:rPr>
                <w:rFonts w:asciiTheme="minorEastAsia" w:hAnsiTheme="minorEastAsia"/>
                <w:szCs w:val="21"/>
              </w:rPr>
            </w:pPr>
            <w:r>
              <w:rPr>
                <w:rFonts w:hint="eastAsia" w:asciiTheme="minorEastAsia" w:hAnsiTheme="minorEastAsia"/>
                <w:szCs w:val="21"/>
              </w:rPr>
              <w:t>资产</w:t>
            </w:r>
            <w:r>
              <w:rPr>
                <w:rFonts w:asciiTheme="minorEastAsia" w:hAnsiTheme="minorEastAsia"/>
                <w:szCs w:val="21"/>
              </w:rPr>
              <w:t>名称</w:t>
            </w:r>
          </w:p>
        </w:tc>
        <w:tc>
          <w:tcPr>
            <w:tcW w:w="2010" w:type="dxa"/>
            <w:vAlign w:val="center"/>
          </w:tcPr>
          <w:p>
            <w:pPr>
              <w:jc w:val="center"/>
              <w:rPr>
                <w:rFonts w:asciiTheme="minorEastAsia" w:hAnsiTheme="minorEastAsia"/>
                <w:szCs w:val="21"/>
              </w:rPr>
            </w:pPr>
            <w:r>
              <w:rPr>
                <w:rFonts w:asciiTheme="minorEastAsia" w:hAnsiTheme="minorEastAsia"/>
                <w:szCs w:val="21"/>
              </w:rPr>
              <w:t>金额</w:t>
            </w:r>
          </w:p>
        </w:tc>
        <w:tc>
          <w:tcPr>
            <w:tcW w:w="1575" w:type="dxa"/>
            <w:vAlign w:val="center"/>
          </w:tcPr>
          <w:p>
            <w:pPr>
              <w:jc w:val="center"/>
              <w:rPr>
                <w:rFonts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1</w:t>
            </w:r>
          </w:p>
        </w:tc>
        <w:tc>
          <w:tcPr>
            <w:tcW w:w="410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邦银金融租赁股份有限公司</w:t>
            </w:r>
            <w:r>
              <w:rPr>
                <w:rFonts w:hint="eastAsia" w:asciiTheme="minorEastAsia" w:hAnsiTheme="minorEastAsia"/>
                <w:szCs w:val="21"/>
                <w:lang w:val="en-US" w:eastAsia="zh-CN"/>
              </w:rPr>
              <w:t>同业借款</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102,137,500.00</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2</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18溧水城建PPN003</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88,664,590.16</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3</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18长寿经开MTN001</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72,776,666.67</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4</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19淮安新城PPN002</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71,086,246.58</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5</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19双福建设PPN002</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65,092,383.56</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6</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19江津城建MTN001</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64,967,539.73</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7</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19阜阳城南PPN001</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64,920,723.29</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8</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19天心城投PPN001</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64,657,884.93</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9</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19洛阳新投PPN001</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48,996,721.31</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vAlign w:val="center"/>
          </w:tcPr>
          <w:p>
            <w:pPr>
              <w:jc w:val="center"/>
              <w:rPr>
                <w:rFonts w:asciiTheme="minorEastAsia" w:hAnsiTheme="minorEastAsia"/>
                <w:szCs w:val="21"/>
              </w:rPr>
            </w:pPr>
            <w:r>
              <w:rPr>
                <w:rFonts w:asciiTheme="minorEastAsia" w:hAnsiTheme="minorEastAsia"/>
                <w:szCs w:val="21"/>
              </w:rPr>
              <w:t>10</w:t>
            </w:r>
          </w:p>
        </w:tc>
        <w:tc>
          <w:tcPr>
            <w:tcW w:w="4108" w:type="dxa"/>
            <w:vAlign w:val="center"/>
          </w:tcPr>
          <w:p>
            <w:pPr>
              <w:jc w:val="center"/>
              <w:rPr>
                <w:rFonts w:hint="eastAsia" w:asciiTheme="minorEastAsia" w:hAnsiTheme="minorEastAsia"/>
                <w:szCs w:val="21"/>
              </w:rPr>
            </w:pPr>
            <w:r>
              <w:rPr>
                <w:rFonts w:hint="eastAsia" w:asciiTheme="minorEastAsia" w:hAnsiTheme="minorEastAsia"/>
                <w:szCs w:val="21"/>
              </w:rPr>
              <w:t>19常德城投PPN001</w:t>
            </w:r>
          </w:p>
        </w:tc>
        <w:tc>
          <w:tcPr>
            <w:tcW w:w="2010" w:type="dxa"/>
            <w:vAlign w:val="center"/>
          </w:tcPr>
          <w:p>
            <w:pPr>
              <w:jc w:val="center"/>
              <w:rPr>
                <w:rFonts w:hint="eastAsia" w:asciiTheme="minorEastAsia" w:hAnsiTheme="minorEastAsia"/>
                <w:szCs w:val="21"/>
              </w:rPr>
            </w:pPr>
            <w:r>
              <w:rPr>
                <w:rFonts w:hint="eastAsia" w:asciiTheme="minorEastAsia" w:hAnsiTheme="minorEastAsia"/>
                <w:szCs w:val="21"/>
              </w:rPr>
              <w:t>48,852,459.02</w:t>
            </w:r>
          </w:p>
        </w:tc>
        <w:tc>
          <w:tcPr>
            <w:tcW w:w="1575" w:type="dxa"/>
            <w:vAlign w:val="center"/>
          </w:tcPr>
          <w:p>
            <w:pPr>
              <w:jc w:val="center"/>
              <w:rPr>
                <w:rFonts w:hint="eastAsia" w:asciiTheme="minorEastAsia" w:hAnsiTheme="minorEastAsia"/>
                <w:szCs w:val="21"/>
              </w:rPr>
            </w:pPr>
            <w:r>
              <w:rPr>
                <w:rFonts w:hint="eastAsia" w:asciiTheme="minorEastAsia" w:hAnsiTheme="minorEastAsia"/>
                <w:szCs w:val="21"/>
              </w:rPr>
              <w:t>5.08%</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szCs w:val="21"/>
        </w:rPr>
        <w:t>本期产品在日常经营活动中涉及风险主要包括信用风险、流动性风险及市场风险。我行通过相关程序和规章制度</w:t>
      </w:r>
      <w:r>
        <w:rPr>
          <w:rFonts w:hint="eastAsia" w:asciiTheme="minorEastAsia" w:hAnsiTheme="minorEastAsia"/>
        </w:rPr>
        <w:t>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4F11663"/>
    <w:rsid w:val="05013303"/>
    <w:rsid w:val="061D06A2"/>
    <w:rsid w:val="069A03AF"/>
    <w:rsid w:val="07DB680E"/>
    <w:rsid w:val="08613963"/>
    <w:rsid w:val="08F15FB1"/>
    <w:rsid w:val="092D14CE"/>
    <w:rsid w:val="09563133"/>
    <w:rsid w:val="0A4B465B"/>
    <w:rsid w:val="0BD02B2A"/>
    <w:rsid w:val="0D4C3E41"/>
    <w:rsid w:val="0E4C42AE"/>
    <w:rsid w:val="0FC53136"/>
    <w:rsid w:val="109116D6"/>
    <w:rsid w:val="1096698D"/>
    <w:rsid w:val="12413345"/>
    <w:rsid w:val="12931977"/>
    <w:rsid w:val="13814A1B"/>
    <w:rsid w:val="1441580E"/>
    <w:rsid w:val="145B1C45"/>
    <w:rsid w:val="154F13DA"/>
    <w:rsid w:val="182721AC"/>
    <w:rsid w:val="197D5ABF"/>
    <w:rsid w:val="19A54864"/>
    <w:rsid w:val="1BDE0CAD"/>
    <w:rsid w:val="1C760FBE"/>
    <w:rsid w:val="1CFA4861"/>
    <w:rsid w:val="1FF23D36"/>
    <w:rsid w:val="21ED676D"/>
    <w:rsid w:val="22297696"/>
    <w:rsid w:val="2350060C"/>
    <w:rsid w:val="25E358EE"/>
    <w:rsid w:val="26FD1903"/>
    <w:rsid w:val="275E2CFA"/>
    <w:rsid w:val="27BD45FF"/>
    <w:rsid w:val="29DA3D49"/>
    <w:rsid w:val="2A0F4201"/>
    <w:rsid w:val="2AEB1E5A"/>
    <w:rsid w:val="2FF34915"/>
    <w:rsid w:val="328522BE"/>
    <w:rsid w:val="32BF6983"/>
    <w:rsid w:val="331E4C1A"/>
    <w:rsid w:val="335601C3"/>
    <w:rsid w:val="33F54821"/>
    <w:rsid w:val="343A6A56"/>
    <w:rsid w:val="34CF4BC9"/>
    <w:rsid w:val="35DB54D6"/>
    <w:rsid w:val="37B114AF"/>
    <w:rsid w:val="39BA6599"/>
    <w:rsid w:val="3E2835B7"/>
    <w:rsid w:val="3EBE3EFC"/>
    <w:rsid w:val="422B2661"/>
    <w:rsid w:val="42982300"/>
    <w:rsid w:val="43250476"/>
    <w:rsid w:val="472D2614"/>
    <w:rsid w:val="49343EE8"/>
    <w:rsid w:val="4B1E5A56"/>
    <w:rsid w:val="4E6C5390"/>
    <w:rsid w:val="4E7465B4"/>
    <w:rsid w:val="4F05414C"/>
    <w:rsid w:val="51EC6135"/>
    <w:rsid w:val="572F2943"/>
    <w:rsid w:val="57D83C46"/>
    <w:rsid w:val="58306832"/>
    <w:rsid w:val="58474781"/>
    <w:rsid w:val="586214C2"/>
    <w:rsid w:val="5A622306"/>
    <w:rsid w:val="5AB01723"/>
    <w:rsid w:val="5D5E2859"/>
    <w:rsid w:val="5D8B4F22"/>
    <w:rsid w:val="607B3C1C"/>
    <w:rsid w:val="621F0476"/>
    <w:rsid w:val="63D37DC1"/>
    <w:rsid w:val="670709E0"/>
    <w:rsid w:val="671D7CC1"/>
    <w:rsid w:val="687C70C4"/>
    <w:rsid w:val="69074462"/>
    <w:rsid w:val="6C9B0C01"/>
    <w:rsid w:val="6E546A74"/>
    <w:rsid w:val="6FA67F07"/>
    <w:rsid w:val="733D1C41"/>
    <w:rsid w:val="75736568"/>
    <w:rsid w:val="773E6275"/>
    <w:rsid w:val="788C0951"/>
    <w:rsid w:val="79882DEC"/>
    <w:rsid w:val="79FE5971"/>
    <w:rsid w:val="7BA6096B"/>
    <w:rsid w:val="7C1F2993"/>
    <w:rsid w:val="7DB64F26"/>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13</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2020-07-21T05:41:15Z</cp:lastPrinted>
  <dcterms:modified xsi:type="dcterms:W3CDTF">2020-07-21T05:41:22Z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