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重庆农村商业银行江渝财富“天添金”2020年第13期公募封闭式净值型投资管理报告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999,967,000.00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2020-12-08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1,017,653,755.04</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1.0176</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1.0176</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52"/>
        <w:gridCol w:w="3007"/>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2452"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项目</w:t>
            </w:r>
          </w:p>
        </w:tc>
        <w:tc>
          <w:tcPr>
            <w:tcW w:w="3007"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2153"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245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债券</w:t>
            </w:r>
          </w:p>
        </w:tc>
        <w:tc>
          <w:tcPr>
            <w:tcW w:w="3007" w:type="dxa"/>
            <w:vAlign w:val="center"/>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1,012,300,640.47</w:t>
            </w:r>
          </w:p>
        </w:tc>
        <w:tc>
          <w:tcPr>
            <w:tcW w:w="2153"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98.87%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2452"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同业往来资产</w:t>
            </w:r>
          </w:p>
        </w:tc>
        <w:tc>
          <w:tcPr>
            <w:tcW w:w="3007" w:type="dxa"/>
            <w:vAlign w:val="center"/>
          </w:tcPr>
          <w:p>
            <w:pPr>
              <w:jc w:val="center"/>
              <w:rPr>
                <w:rFonts w:hint="eastAsia" w:asciiTheme="minorEastAsia" w:hAnsiTheme="minorEastAsia"/>
                <w:szCs w:val="21"/>
              </w:rPr>
            </w:pPr>
            <w:r>
              <w:rPr>
                <w:rFonts w:hint="eastAsia" w:asciiTheme="minorEastAsia" w:hAnsiTheme="minorEastAsia"/>
                <w:szCs w:val="21"/>
              </w:rPr>
              <w:t>11</w:t>
            </w:r>
            <w:r>
              <w:rPr>
                <w:rFonts w:hint="eastAsia" w:asciiTheme="minorEastAsia" w:hAnsiTheme="minorEastAsia"/>
                <w:szCs w:val="21"/>
                <w:lang w:val="en-US" w:eastAsia="zh-CN"/>
              </w:rPr>
              <w:t>,</w:t>
            </w:r>
            <w:r>
              <w:rPr>
                <w:rFonts w:hint="eastAsia" w:asciiTheme="minorEastAsia" w:hAnsiTheme="minorEastAsia"/>
                <w:szCs w:val="21"/>
              </w:rPr>
              <w:t>554</w:t>
            </w:r>
            <w:r>
              <w:rPr>
                <w:rFonts w:hint="eastAsia" w:asciiTheme="minorEastAsia" w:hAnsiTheme="minorEastAsia"/>
                <w:szCs w:val="21"/>
                <w:lang w:val="en-US" w:eastAsia="zh-CN"/>
              </w:rPr>
              <w:t>,</w:t>
            </w:r>
            <w:r>
              <w:rPr>
                <w:rFonts w:hint="eastAsia" w:asciiTheme="minorEastAsia" w:hAnsiTheme="minorEastAsia"/>
                <w:szCs w:val="21"/>
              </w:rPr>
              <w:t>750.75</w:t>
            </w:r>
          </w:p>
        </w:tc>
        <w:tc>
          <w:tcPr>
            <w:tcW w:w="2153"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1.13</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w:t>
            </w:r>
          </w:p>
        </w:tc>
        <w:tc>
          <w:tcPr>
            <w:tcW w:w="2452" w:type="dxa"/>
            <w:vAlign w:val="center"/>
          </w:tcPr>
          <w:p>
            <w:pPr>
              <w:jc w:val="center"/>
              <w:rPr>
                <w:rFonts w:hint="eastAsia" w:asciiTheme="minorEastAsia" w:hAnsiTheme="minorEastAsia"/>
                <w:szCs w:val="21"/>
              </w:rPr>
            </w:pPr>
            <w:r>
              <w:rPr>
                <w:rFonts w:hint="eastAsia" w:asciiTheme="minorEastAsia" w:hAnsiTheme="minorEastAsia"/>
                <w:szCs w:val="21"/>
              </w:rPr>
              <w:t>合计</w:t>
            </w:r>
          </w:p>
        </w:tc>
        <w:tc>
          <w:tcPr>
            <w:tcW w:w="3007" w:type="dxa"/>
            <w:vAlign w:val="center"/>
          </w:tcPr>
          <w:p>
            <w:pPr>
              <w:jc w:val="center"/>
              <w:rPr>
                <w:rFonts w:hint="eastAsia" w:asciiTheme="minorEastAsia" w:hAnsiTheme="minorEastAsia"/>
                <w:szCs w:val="21"/>
              </w:rPr>
            </w:pPr>
            <w:r>
              <w:rPr>
                <w:rFonts w:hint="eastAsia" w:asciiTheme="minorEastAsia" w:hAnsiTheme="minorEastAsia"/>
                <w:szCs w:val="21"/>
              </w:rPr>
              <w:t>1,023,855,391.22</w:t>
            </w:r>
          </w:p>
        </w:tc>
        <w:tc>
          <w:tcPr>
            <w:tcW w:w="2153" w:type="dxa"/>
            <w:vAlign w:val="center"/>
          </w:tcPr>
          <w:p>
            <w:pPr>
              <w:jc w:val="center"/>
              <w:rPr>
                <w:rFonts w:hint="eastAsia" w:asciiTheme="minorEastAsia" w:hAnsiTheme="minorEastAsia"/>
                <w:szCs w:val="21"/>
              </w:rPr>
            </w:pPr>
            <w:r>
              <w:rPr>
                <w:rFonts w:hint="eastAsia"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Theme="minorEastAsia" w:hAnsiTheme="minorEastAsia"/>
                <w:szCs w:val="21"/>
              </w:rPr>
            </w:pPr>
            <w:r>
              <w:rPr>
                <w:rFonts w:asciiTheme="minorEastAsia" w:hAnsiTheme="minorEastAsia"/>
                <w:szCs w:val="21"/>
              </w:rPr>
              <w:t>序号</w:t>
            </w:r>
          </w:p>
        </w:tc>
        <w:tc>
          <w:tcPr>
            <w:tcW w:w="2835" w:type="dxa"/>
          </w:tcPr>
          <w:p>
            <w:pPr>
              <w:ind w:right="80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 xml:space="preserve">        项目</w:t>
            </w:r>
          </w:p>
        </w:tc>
        <w:tc>
          <w:tcPr>
            <w:tcW w:w="1843" w:type="dxa"/>
          </w:tcPr>
          <w:p>
            <w:pPr>
              <w:jc w:val="center"/>
              <w:rPr>
                <w:rFonts w:asciiTheme="minorEastAsia" w:hAnsiTheme="minorEastAsia"/>
                <w:szCs w:val="21"/>
              </w:rPr>
            </w:pPr>
            <w:r>
              <w:rPr>
                <w:rFonts w:asciiTheme="minorEastAsia" w:hAnsiTheme="minorEastAsia"/>
                <w:szCs w:val="21"/>
              </w:rPr>
              <w:t>金额</w:t>
            </w:r>
          </w:p>
        </w:tc>
        <w:tc>
          <w:tcPr>
            <w:tcW w:w="2914" w:type="dxa"/>
          </w:tcPr>
          <w:p>
            <w:pPr>
              <w:jc w:val="center"/>
              <w:rPr>
                <w:rFonts w:asciiTheme="minorEastAsia" w:hAnsiTheme="minorEastAsia"/>
                <w:szCs w:val="21"/>
              </w:rPr>
            </w:pPr>
            <w:r>
              <w:rPr>
                <w:rFonts w:hint="eastAsia" w:asciiTheme="minorEastAsia" w:hAnsiTheme="minorEastAsia"/>
                <w:szCs w:val="21"/>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eastAsia" w:asciiTheme="minorEastAsia" w:hAnsiTheme="minorEastAsia"/>
          <w:szCs w:val="21"/>
        </w:rPr>
      </w:pPr>
      <w:r>
        <w:rPr>
          <w:rFonts w:hint="eastAsia" w:asciiTheme="minorEastAsia" w:hAnsiTheme="minorEastAsia"/>
          <w:szCs w:val="21"/>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48"/>
        <w:gridCol w:w="252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18九龙园PPN002</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95,025,000.00</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19合川投资PPN002</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89,519,213.11</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3</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17重庆建桥PPN001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80,911,780.82</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4</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18常城建PPN004</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80,496,557.38</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5</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19阜阳城南PPN001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78,107,745.21</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6</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19合川投资PPN001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77,532,354.79</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7</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19如皋沿江PPN001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62,958,027.40</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8</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19迈瑞城投PPN001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62,878,191.78</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9</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19渝高新PPN001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61,379,508.20</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10</w:t>
            </w:r>
          </w:p>
        </w:tc>
        <w:tc>
          <w:tcPr>
            <w:tcW w:w="3148" w:type="dxa"/>
            <w:vAlign w:val="center"/>
          </w:tcPr>
          <w:p>
            <w:pPr>
              <w:jc w:val="center"/>
              <w:rPr>
                <w:rFonts w:hint="eastAsia" w:asciiTheme="minorEastAsia" w:hAnsiTheme="minorEastAsia"/>
                <w:szCs w:val="21"/>
              </w:rPr>
            </w:pPr>
            <w:r>
              <w:rPr>
                <w:rFonts w:hint="eastAsia" w:asciiTheme="minorEastAsia" w:hAnsiTheme="minorEastAsia"/>
                <w:szCs w:val="21"/>
              </w:rPr>
              <w:t>19雨花城投PPN001</w:t>
            </w:r>
          </w:p>
        </w:tc>
        <w:tc>
          <w:tcPr>
            <w:tcW w:w="2520" w:type="dxa"/>
            <w:vAlign w:val="center"/>
          </w:tcPr>
          <w:p>
            <w:pPr>
              <w:jc w:val="center"/>
              <w:rPr>
                <w:rFonts w:hint="eastAsia" w:asciiTheme="minorEastAsia" w:hAnsiTheme="minorEastAsia"/>
                <w:szCs w:val="21"/>
              </w:rPr>
            </w:pPr>
            <w:r>
              <w:rPr>
                <w:rFonts w:hint="eastAsia" w:asciiTheme="minorEastAsia" w:hAnsiTheme="minorEastAsia"/>
                <w:szCs w:val="21"/>
              </w:rPr>
              <w:t>51,254,781.42</w:t>
            </w:r>
          </w:p>
        </w:tc>
        <w:tc>
          <w:tcPr>
            <w:tcW w:w="2055" w:type="dxa"/>
            <w:vAlign w:val="center"/>
          </w:tcPr>
          <w:p>
            <w:pPr>
              <w:jc w:val="center"/>
              <w:rPr>
                <w:rFonts w:hint="eastAsia" w:asciiTheme="minorEastAsia" w:hAnsiTheme="minorEastAsia"/>
                <w:szCs w:val="21"/>
              </w:rPr>
            </w:pPr>
            <w:r>
              <w:rPr>
                <w:rFonts w:hint="eastAsia" w:asciiTheme="minorEastAsia" w:hAnsiTheme="minorEastAsia"/>
                <w:szCs w:val="21"/>
              </w:rPr>
              <w:t>5.01%</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lang w:val="en-US" w:eastAsia="zh-CN"/>
        </w:rPr>
      </w:pPr>
      <w:r>
        <w:rPr>
          <w:rFonts w:hint="eastAsia" w:asciiTheme="minorEastAsia" w:hAnsiTheme="minorEastAsia"/>
          <w:b w:val="0"/>
          <w:bCs/>
          <w:sz w:val="18"/>
          <w:szCs w:val="18"/>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jc w:val="both"/>
        <w:rPr>
          <w:rFonts w:hint="eastAsia"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w:t>
      </w:r>
      <w:bookmarkStart w:id="1" w:name="_GoBack"/>
      <w:bookmarkEnd w:id="1"/>
      <w:r>
        <w:rPr>
          <w:rFonts w:hint="eastAsia" w:asciiTheme="minorEastAsia" w:hAnsiTheme="minorEastAsia"/>
          <w:szCs w:val="21"/>
          <w:lang w:val="en-US" w:eastAsia="zh-CN"/>
        </w:rPr>
        <w:t>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0BB5811"/>
    <w:rsid w:val="12413345"/>
    <w:rsid w:val="12931977"/>
    <w:rsid w:val="13814A1B"/>
    <w:rsid w:val="1441580E"/>
    <w:rsid w:val="145B1C45"/>
    <w:rsid w:val="154F13DA"/>
    <w:rsid w:val="182721AC"/>
    <w:rsid w:val="197D5ABF"/>
    <w:rsid w:val="19A54864"/>
    <w:rsid w:val="1BB65524"/>
    <w:rsid w:val="1BDE0CAD"/>
    <w:rsid w:val="1C760FBE"/>
    <w:rsid w:val="1FBA7FF5"/>
    <w:rsid w:val="1FF23D36"/>
    <w:rsid w:val="21ED676D"/>
    <w:rsid w:val="2350060C"/>
    <w:rsid w:val="25E358EE"/>
    <w:rsid w:val="26FD1903"/>
    <w:rsid w:val="27BD45FF"/>
    <w:rsid w:val="29DA3D49"/>
    <w:rsid w:val="2A0F4201"/>
    <w:rsid w:val="2AEB1E5A"/>
    <w:rsid w:val="2FF34915"/>
    <w:rsid w:val="30894FE5"/>
    <w:rsid w:val="328522BE"/>
    <w:rsid w:val="331E4C1A"/>
    <w:rsid w:val="335601C3"/>
    <w:rsid w:val="33F54821"/>
    <w:rsid w:val="35DB54D6"/>
    <w:rsid w:val="37B114AF"/>
    <w:rsid w:val="39BA6599"/>
    <w:rsid w:val="3A74436B"/>
    <w:rsid w:val="3E2835B7"/>
    <w:rsid w:val="3EBE3EFC"/>
    <w:rsid w:val="422B2661"/>
    <w:rsid w:val="42982300"/>
    <w:rsid w:val="43250476"/>
    <w:rsid w:val="45EF449A"/>
    <w:rsid w:val="46F92593"/>
    <w:rsid w:val="472D2614"/>
    <w:rsid w:val="49343EE8"/>
    <w:rsid w:val="4B1E5A56"/>
    <w:rsid w:val="4E6C5390"/>
    <w:rsid w:val="4F05414C"/>
    <w:rsid w:val="51EC6135"/>
    <w:rsid w:val="572F2943"/>
    <w:rsid w:val="57D83C46"/>
    <w:rsid w:val="586214C2"/>
    <w:rsid w:val="5A622306"/>
    <w:rsid w:val="5AB01723"/>
    <w:rsid w:val="5AD921CB"/>
    <w:rsid w:val="5D5E2859"/>
    <w:rsid w:val="5D8B4F22"/>
    <w:rsid w:val="5FC25844"/>
    <w:rsid w:val="621F0476"/>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6</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2020-07-21T05:42:03Z</cp:lastPrinted>
  <dcterms:modified xsi:type="dcterms:W3CDTF">2020-07-21T05:42:08Z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