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2"/>
          <w:szCs w:val="32"/>
        </w:rPr>
      </w:pPr>
      <w:bookmarkStart w:id="1" w:name="_GoBack"/>
      <w:bookmarkEnd w:id="1"/>
      <w:bookmarkStart w:id="0" w:name="_Toc524626124"/>
      <w:r>
        <w:rPr>
          <w:rFonts w:hint="eastAsia" w:asciiTheme="minorEastAsia" w:hAnsiTheme="minorEastAsia"/>
          <w:b/>
          <w:sz w:val="32"/>
          <w:szCs w:val="32"/>
        </w:rPr>
        <w:t>重庆农村商业银行江渝财富“天添金”2020年第14期</w:t>
      </w:r>
      <w:r>
        <w:rPr>
          <w:rFonts w:hint="eastAsia" w:asciiTheme="minorEastAsia" w:hAnsiTheme="minorEastAsia"/>
          <w:b/>
          <w:sz w:val="32"/>
          <w:szCs w:val="32"/>
          <w:lang w:val="en-US" w:eastAsia="zh-CN"/>
        </w:rPr>
        <w:t xml:space="preserve">     </w:t>
      </w:r>
      <w:r>
        <w:rPr>
          <w:rFonts w:hint="eastAsia" w:asciiTheme="minorEastAsia" w:hAnsiTheme="minorEastAsia"/>
          <w:b/>
          <w:sz w:val="32"/>
          <w:szCs w:val="32"/>
        </w:rPr>
        <w:t>公募封闭式净值型投资管理报告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产品名称</w:t>
            </w:r>
          </w:p>
        </w:tc>
        <w:tc>
          <w:tcPr>
            <w:tcW w:w="6033" w:type="dxa"/>
          </w:tcPr>
          <w:p>
            <w:pPr>
              <w:rPr>
                <w:rFonts w:asciiTheme="minorEastAsia" w:hAnsiTheme="minorEastAsia"/>
                <w:szCs w:val="21"/>
              </w:rPr>
            </w:pPr>
            <w:r>
              <w:rPr>
                <w:rFonts w:hint="eastAsia" w:asciiTheme="minorEastAsia" w:hAnsiTheme="minorEastAsia"/>
                <w:szCs w:val="21"/>
              </w:rPr>
              <w:t>江渝财富“天添金”2020年第14期公募封闭式净值型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产品编号</w:t>
            </w:r>
          </w:p>
        </w:tc>
        <w:tc>
          <w:tcPr>
            <w:tcW w:w="6033" w:type="dxa"/>
          </w:tcPr>
          <w:p>
            <w:pPr>
              <w:rPr>
                <w:rFonts w:asciiTheme="minorEastAsia" w:hAnsiTheme="minorEastAsia"/>
                <w:szCs w:val="21"/>
              </w:rPr>
            </w:pPr>
            <w:r>
              <w:rPr>
                <w:rFonts w:hint="eastAsia" w:asciiTheme="minorEastAsia" w:hAnsiTheme="minorEastAsia"/>
                <w:szCs w:val="21"/>
              </w:rPr>
              <w:t>12020014GFJ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理财系统登记编码</w:t>
            </w:r>
          </w:p>
        </w:tc>
        <w:tc>
          <w:tcPr>
            <w:tcW w:w="6033" w:type="dxa"/>
          </w:tcPr>
          <w:p>
            <w:pPr>
              <w:rPr>
                <w:rFonts w:asciiTheme="minorEastAsia" w:hAnsiTheme="minorEastAsia"/>
                <w:szCs w:val="21"/>
              </w:rPr>
            </w:pPr>
            <w:r>
              <w:rPr>
                <w:rFonts w:hint="eastAsia" w:asciiTheme="minorEastAsia" w:hAnsiTheme="minorEastAsia"/>
                <w:szCs w:val="21"/>
              </w:rPr>
              <w:t>C1126720000034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产品类型</w:t>
            </w:r>
          </w:p>
        </w:tc>
        <w:tc>
          <w:tcPr>
            <w:tcW w:w="6033" w:type="dxa"/>
          </w:tcPr>
          <w:p>
            <w:pPr>
              <w:rPr>
                <w:rFonts w:asciiTheme="minorEastAsia" w:hAnsiTheme="minorEastAsia"/>
                <w:szCs w:val="21"/>
              </w:rPr>
            </w:pPr>
            <w:r>
              <w:rPr>
                <w:rFonts w:hint="eastAsia" w:asciiTheme="minorEastAsia" w:hAnsiTheme="minorEastAsia"/>
                <w:szCs w:val="21"/>
              </w:rPr>
              <w:t>非保本浮动收益型</w:t>
            </w:r>
            <w:r>
              <w:rPr>
                <w:color w:val="auto"/>
                <w:u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产品类别</w:t>
            </w:r>
          </w:p>
        </w:tc>
        <w:tc>
          <w:tcPr>
            <w:tcW w:w="6033" w:type="dxa"/>
          </w:tcPr>
          <w:p>
            <w:pPr>
              <w:rPr>
                <w:rFonts w:hint="eastAsia" w:asciiTheme="minorEastAsia" w:hAnsiTheme="minorEastAsia" w:eastAsiaTheme="minorEastAsia"/>
                <w:szCs w:val="21"/>
                <w:lang w:val="en-US" w:eastAsia="zh-CN"/>
              </w:rPr>
            </w:pPr>
            <w:r>
              <w:rPr>
                <w:rFonts w:hint="eastAsia" w:asciiTheme="minorEastAsia" w:hAnsiTheme="minorEastAsia"/>
                <w:szCs w:val="21"/>
              </w:rPr>
              <w:t>固定收益类</w:t>
            </w:r>
            <w:r>
              <w:rPr>
                <w:color w:val="auto"/>
                <w:u w:val="none"/>
              </w:rPr>
              <w:t>公募</w:t>
            </w:r>
            <w:r>
              <w:rPr>
                <w:rFonts w:hint="eastAsia" w:asciiTheme="minorEastAsia" w:hAnsiTheme="minorEastAsia"/>
                <w:szCs w:val="21"/>
                <w:lang w:val="en-US" w:eastAsia="zh-CN"/>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内部风险评级</w:t>
            </w:r>
          </w:p>
        </w:tc>
        <w:tc>
          <w:tcPr>
            <w:tcW w:w="6033" w:type="dxa"/>
          </w:tcPr>
          <w:p>
            <w:pPr>
              <w:rPr>
                <w:rFonts w:asciiTheme="minorEastAsia" w:hAnsiTheme="minorEastAsia"/>
                <w:szCs w:val="21"/>
              </w:rPr>
            </w:pPr>
            <w:r>
              <w:rPr>
                <w:rFonts w:hint="eastAsia" w:asciiTheme="minorEastAsia" w:hAnsiTheme="minorEastAsia"/>
                <w:szCs w:val="21"/>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产品存续规模</w:t>
            </w:r>
          </w:p>
        </w:tc>
        <w:tc>
          <w:tcPr>
            <w:tcW w:w="6033" w:type="dxa"/>
          </w:tcPr>
          <w:p>
            <w:pPr>
              <w:rPr>
                <w:rFonts w:asciiTheme="minorEastAsia" w:hAnsiTheme="minorEastAsia"/>
                <w:szCs w:val="21"/>
              </w:rPr>
            </w:pPr>
            <w:r>
              <w:rPr>
                <w:rFonts w:hint="eastAsia" w:asciiTheme="minorEastAsia" w:hAnsiTheme="minorEastAsia"/>
                <w:szCs w:val="21"/>
              </w:rPr>
              <w:t>999,998,000.00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业绩比较</w:t>
            </w:r>
            <w:r>
              <w:rPr>
                <w:rFonts w:asciiTheme="minorEastAsia" w:hAnsiTheme="minorEastAsia"/>
                <w:szCs w:val="21"/>
              </w:rPr>
              <w:t>基准</w:t>
            </w:r>
          </w:p>
        </w:tc>
        <w:tc>
          <w:tcPr>
            <w:tcW w:w="6033" w:type="dxa"/>
          </w:tcPr>
          <w:p>
            <w:pPr>
              <w:rPr>
                <w:rFonts w:asciiTheme="minorEastAsia" w:hAnsiTheme="minorEastAsia"/>
                <w:szCs w:val="21"/>
              </w:rPr>
            </w:pPr>
            <w:r>
              <w:rPr>
                <w:rFonts w:hint="eastAsia" w:asciiTheme="minorEastAsia" w:hAnsiTheme="minorEastAsia"/>
                <w:szCs w:val="21"/>
              </w:rPr>
              <w:t>4.2</w:t>
            </w:r>
            <w:r>
              <w:rPr>
                <w:rFonts w:hint="eastAsia" w:asciiTheme="minorEastAsia" w:hAnsiTheme="minorEastAsia"/>
                <w:szCs w:val="21"/>
                <w:lang w:val="en-US" w:eastAsia="zh-CN"/>
              </w:rPr>
              <w:t>0</w:t>
            </w:r>
            <w:r>
              <w:rPr>
                <w:rFonts w:hint="eastAsia"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产品成立日</w:t>
            </w:r>
          </w:p>
        </w:tc>
        <w:tc>
          <w:tcPr>
            <w:tcW w:w="6033" w:type="dxa"/>
          </w:tcPr>
          <w:p>
            <w:pPr>
              <w:rPr>
                <w:rFonts w:asciiTheme="minorEastAsia" w:hAnsiTheme="minorEastAsia"/>
                <w:szCs w:val="21"/>
              </w:rPr>
            </w:pPr>
            <w:r>
              <w:rPr>
                <w:rFonts w:hint="eastAsia" w:asciiTheme="minorEastAsia" w:hAnsiTheme="minorEastAsia"/>
                <w:szCs w:val="21"/>
              </w:rPr>
              <w:t>2020-02-11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产品到期日</w:t>
            </w:r>
          </w:p>
        </w:tc>
        <w:tc>
          <w:tcPr>
            <w:tcW w:w="6033" w:type="dxa"/>
          </w:tcPr>
          <w:p>
            <w:pPr>
              <w:rPr>
                <w:rFonts w:asciiTheme="minorEastAsia" w:hAnsiTheme="minorEastAsia"/>
                <w:szCs w:val="21"/>
              </w:rPr>
            </w:pPr>
            <w:r>
              <w:rPr>
                <w:rFonts w:hint="eastAsia" w:asciiTheme="minorEastAsia" w:hAnsiTheme="minorEastAsia"/>
                <w:szCs w:val="21"/>
              </w:rPr>
              <w:t>2020-12-18</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产品托管行</w:t>
            </w:r>
          </w:p>
        </w:tc>
        <w:tc>
          <w:tcPr>
            <w:tcW w:w="6033" w:type="dxa"/>
          </w:tcPr>
          <w:p>
            <w:pPr>
              <w:rPr>
                <w:rFonts w:asciiTheme="minorEastAsia" w:hAnsiTheme="minorEastAsia"/>
                <w:szCs w:val="21"/>
              </w:rPr>
            </w:pPr>
            <w:r>
              <w:rPr>
                <w:rFonts w:hint="eastAsia" w:asciiTheme="minorEastAsia" w:hAnsiTheme="minorEastAsia"/>
                <w:szCs w:val="21"/>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产品托管账户</w:t>
            </w:r>
          </w:p>
        </w:tc>
        <w:tc>
          <w:tcPr>
            <w:tcW w:w="6033" w:type="dxa"/>
          </w:tcPr>
          <w:p>
            <w:pPr>
              <w:rPr>
                <w:rFonts w:asciiTheme="minorEastAsia" w:hAnsiTheme="minorEastAsia"/>
                <w:szCs w:val="21"/>
              </w:rPr>
            </w:pPr>
            <w:r>
              <w:rPr>
                <w:rFonts w:hint="eastAsia" w:asciiTheme="minorEastAsia" w:hAnsiTheme="minorEastAsia"/>
                <w:szCs w:val="21"/>
              </w:rPr>
              <w:t>346010100101567204</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wordWrap w:val="0"/>
        <w:spacing w:line="360" w:lineRule="auto"/>
        <w:jc w:val="right"/>
        <w:rPr>
          <w:rFonts w:asciiTheme="minorEastAsia" w:hAnsiTheme="minorEastAsia"/>
          <w:szCs w:val="21"/>
        </w:rPr>
      </w:pPr>
      <w:r>
        <w:rPr>
          <w:rFonts w:hint="eastAsia" w:asciiTheme="minorEastAsia" w:hAnsiTheme="minorEastAsia"/>
          <w:szCs w:val="21"/>
        </w:rPr>
        <w:t>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期末资产净值</w:t>
            </w:r>
          </w:p>
        </w:tc>
        <w:tc>
          <w:tcPr>
            <w:tcW w:w="5466" w:type="dxa"/>
          </w:tcPr>
          <w:p>
            <w:pPr>
              <w:rPr>
                <w:rFonts w:asciiTheme="minorEastAsia" w:hAnsiTheme="minorEastAsia"/>
                <w:szCs w:val="21"/>
              </w:rPr>
            </w:pPr>
            <w:r>
              <w:rPr>
                <w:rFonts w:hint="eastAsia" w:asciiTheme="minorEastAsia" w:hAnsiTheme="minorEastAsia"/>
                <w:szCs w:val="21"/>
              </w:rPr>
              <w:t>1,016,659,909.61</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期末产品份额净值</w:t>
            </w:r>
          </w:p>
        </w:tc>
        <w:tc>
          <w:tcPr>
            <w:tcW w:w="5466" w:type="dxa"/>
          </w:tcPr>
          <w:p>
            <w:pPr>
              <w:rPr>
                <w:rFonts w:asciiTheme="minorEastAsia" w:hAnsiTheme="minorEastAsia"/>
                <w:szCs w:val="21"/>
              </w:rPr>
            </w:pPr>
            <w:r>
              <w:rPr>
                <w:rFonts w:hint="eastAsia" w:asciiTheme="minorEastAsia" w:hAnsiTheme="minorEastAsia"/>
                <w:szCs w:val="21"/>
              </w:rPr>
              <w:t>1.0166</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期末产品份额累计净值</w:t>
            </w:r>
          </w:p>
        </w:tc>
        <w:tc>
          <w:tcPr>
            <w:tcW w:w="5466" w:type="dxa"/>
          </w:tcPr>
          <w:p>
            <w:pPr>
              <w:rPr>
                <w:rFonts w:asciiTheme="minorEastAsia" w:hAnsiTheme="minorEastAsia"/>
                <w:szCs w:val="21"/>
              </w:rPr>
            </w:pPr>
            <w:r>
              <w:rPr>
                <w:rFonts w:hint="eastAsia" w:asciiTheme="minorEastAsia" w:hAnsiTheme="minorEastAsia"/>
                <w:szCs w:val="21"/>
              </w:rPr>
              <w:t>1.0166</w:t>
            </w:r>
            <w:r>
              <w:rPr>
                <w:rFonts w:asciiTheme="minorEastAsia" w:hAnsiTheme="minorEastAsia"/>
                <w:szCs w:val="21"/>
              </w:rPr>
              <w:t xml:space="preserve">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ind w:firstLine="480"/>
        <w:jc w:val="right"/>
        <w:rPr>
          <w:rFonts w:asciiTheme="minorEastAsia" w:hAnsiTheme="minorEastAsia"/>
          <w:szCs w:val="21"/>
        </w:rPr>
      </w:pPr>
      <w:r>
        <w:rPr>
          <w:rFonts w:asciiTheme="minorEastAsia" w:hAnsiTheme="minorEastAsia"/>
          <w:szCs w:val="21"/>
        </w:rPr>
        <w:t>单位</w:t>
      </w:r>
      <w:r>
        <w:rPr>
          <w:rFonts w:hint="eastAsia" w:asciiTheme="minorEastAsia" w:hAnsiTheme="minorEastAsia"/>
          <w:szCs w:val="21"/>
        </w:rPr>
        <w:t>：人民币</w:t>
      </w:r>
      <w:r>
        <w:rPr>
          <w:rFonts w:asciiTheme="minorEastAsia" w:hAnsiTheme="minorEastAsia"/>
          <w:szCs w:val="21"/>
        </w:rPr>
        <w:t>元</w:t>
      </w:r>
    </w:p>
    <w:tbl>
      <w:tblPr>
        <w:tblStyle w:val="20"/>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317"/>
        <w:gridCol w:w="3405"/>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序号</w:t>
            </w:r>
          </w:p>
        </w:tc>
        <w:tc>
          <w:tcPr>
            <w:tcW w:w="2317"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项目</w:t>
            </w:r>
          </w:p>
        </w:tc>
        <w:tc>
          <w:tcPr>
            <w:tcW w:w="340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金额</w:t>
            </w:r>
          </w:p>
        </w:tc>
        <w:tc>
          <w:tcPr>
            <w:tcW w:w="187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w:t>
            </w:r>
          </w:p>
        </w:tc>
        <w:tc>
          <w:tcPr>
            <w:tcW w:w="2317"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债券</w:t>
            </w:r>
          </w:p>
        </w:tc>
        <w:tc>
          <w:tcPr>
            <w:tcW w:w="3405" w:type="dxa"/>
            <w:vAlign w:val="bottom"/>
          </w:tcPr>
          <w:p>
            <w:pPr>
              <w:jc w:val="center"/>
              <w:rPr>
                <w:rFonts w:hint="eastAsia" w:asciiTheme="minorEastAsia" w:hAnsiTheme="minorEastAsia"/>
                <w:szCs w:val="21"/>
                <w:lang w:val="en-US" w:eastAsia="zh-CN"/>
              </w:rPr>
            </w:pPr>
            <w:r>
              <w:rPr>
                <w:rFonts w:hint="default" w:asciiTheme="minorEastAsia" w:hAnsiTheme="minorEastAsia"/>
                <w:szCs w:val="21"/>
                <w:lang w:val="en-US" w:eastAsia="zh-CN"/>
              </w:rPr>
              <w:t xml:space="preserve">704,758,375.66 </w:t>
            </w:r>
          </w:p>
        </w:tc>
        <w:tc>
          <w:tcPr>
            <w:tcW w:w="187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68.98%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2</w:t>
            </w:r>
          </w:p>
        </w:tc>
        <w:tc>
          <w:tcPr>
            <w:tcW w:w="2317" w:type="dxa"/>
            <w:vAlign w:val="center"/>
          </w:tcPr>
          <w:p>
            <w:pPr>
              <w:jc w:val="center"/>
              <w:rPr>
                <w:rFonts w:hint="default" w:asciiTheme="minorEastAsia" w:hAnsiTheme="minorEastAsia"/>
                <w:szCs w:val="21"/>
                <w:lang w:val="en-US" w:eastAsia="zh-CN"/>
              </w:rPr>
            </w:pPr>
            <w:r>
              <w:rPr>
                <w:rFonts w:hint="eastAsia" w:asciiTheme="minorEastAsia" w:hAnsiTheme="minorEastAsia"/>
                <w:szCs w:val="21"/>
                <w:lang w:val="en-US" w:eastAsia="zh-CN"/>
              </w:rPr>
              <w:t>同业往来资产</w:t>
            </w:r>
          </w:p>
        </w:tc>
        <w:tc>
          <w:tcPr>
            <w:tcW w:w="3405" w:type="dxa"/>
            <w:vAlign w:val="bottom"/>
          </w:tcPr>
          <w:p>
            <w:pPr>
              <w:jc w:val="center"/>
              <w:rPr>
                <w:rFonts w:hint="eastAsia" w:asciiTheme="minorEastAsia" w:hAnsiTheme="minorEastAsia"/>
                <w:szCs w:val="21"/>
                <w:lang w:val="en-US" w:eastAsia="zh-CN"/>
              </w:rPr>
            </w:pPr>
            <w:r>
              <w:rPr>
                <w:rFonts w:hint="default" w:asciiTheme="minorEastAsia" w:hAnsiTheme="minorEastAsia"/>
                <w:szCs w:val="21"/>
                <w:lang w:val="en-US" w:eastAsia="zh-CN"/>
              </w:rPr>
              <w:t xml:space="preserve">316,898,846.88 </w:t>
            </w:r>
          </w:p>
        </w:tc>
        <w:tc>
          <w:tcPr>
            <w:tcW w:w="187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31.02%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default" w:asciiTheme="minorEastAsia" w:hAnsiTheme="minorEastAsia"/>
                <w:szCs w:val="21"/>
                <w:lang w:val="en-US" w:eastAsia="zh-CN"/>
              </w:rPr>
            </w:pPr>
            <w:r>
              <w:rPr>
                <w:rFonts w:hint="eastAsia" w:asciiTheme="minorEastAsia" w:hAnsiTheme="minorEastAsia"/>
                <w:szCs w:val="21"/>
                <w:lang w:val="en-US" w:eastAsia="zh-CN"/>
              </w:rPr>
              <w:t>3</w:t>
            </w:r>
          </w:p>
        </w:tc>
        <w:tc>
          <w:tcPr>
            <w:tcW w:w="2317"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合计</w:t>
            </w:r>
          </w:p>
        </w:tc>
        <w:tc>
          <w:tcPr>
            <w:tcW w:w="340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1,021,657,222.54</w:t>
            </w:r>
          </w:p>
        </w:tc>
        <w:tc>
          <w:tcPr>
            <w:tcW w:w="187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100.00%</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（二）投资组合回购情况</w:t>
      </w:r>
    </w:p>
    <w:p>
      <w:pPr>
        <w:ind w:firstLine="480"/>
        <w:jc w:val="right"/>
        <w:rPr>
          <w:rFonts w:asciiTheme="minorEastAsia" w:hAnsiTheme="minorEastAsia"/>
          <w:szCs w:val="21"/>
        </w:rPr>
      </w:pPr>
      <w:r>
        <w:rPr>
          <w:rFonts w:hint="eastAsia" w:asciiTheme="minorEastAsia" w:hAnsiTheme="minorEastAsia"/>
          <w:szCs w:val="21"/>
        </w:rPr>
        <w:t>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35"/>
        <w:gridCol w:w="1843"/>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jc w:val="center"/>
              <w:rPr>
                <w:rFonts w:asciiTheme="minorEastAsia" w:hAnsiTheme="minorEastAsia"/>
                <w:szCs w:val="21"/>
              </w:rPr>
            </w:pPr>
            <w:r>
              <w:rPr>
                <w:rFonts w:asciiTheme="minorEastAsia" w:hAnsiTheme="minorEastAsia"/>
                <w:szCs w:val="21"/>
              </w:rPr>
              <w:t>序号</w:t>
            </w:r>
          </w:p>
        </w:tc>
        <w:tc>
          <w:tcPr>
            <w:tcW w:w="2835" w:type="dxa"/>
          </w:tcPr>
          <w:p>
            <w:pPr>
              <w:ind w:right="800"/>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 xml:space="preserve">      项目</w:t>
            </w:r>
          </w:p>
        </w:tc>
        <w:tc>
          <w:tcPr>
            <w:tcW w:w="1843" w:type="dxa"/>
          </w:tcPr>
          <w:p>
            <w:pPr>
              <w:jc w:val="center"/>
              <w:rPr>
                <w:rFonts w:asciiTheme="minorEastAsia" w:hAnsiTheme="minorEastAsia"/>
                <w:szCs w:val="21"/>
              </w:rPr>
            </w:pPr>
            <w:r>
              <w:rPr>
                <w:rFonts w:asciiTheme="minorEastAsia" w:hAnsiTheme="minorEastAsia"/>
                <w:szCs w:val="21"/>
              </w:rPr>
              <w:t>金额</w:t>
            </w:r>
          </w:p>
        </w:tc>
        <w:tc>
          <w:tcPr>
            <w:tcW w:w="2914" w:type="dxa"/>
          </w:tcPr>
          <w:p>
            <w:pPr>
              <w:jc w:val="center"/>
              <w:rPr>
                <w:rFonts w:asciiTheme="minorEastAsia" w:hAnsiTheme="minorEastAsia"/>
                <w:szCs w:val="21"/>
              </w:rPr>
            </w:pPr>
            <w:r>
              <w:rPr>
                <w:rFonts w:hint="eastAsia" w:asciiTheme="minorEastAsia" w:hAnsiTheme="minorEastAsia"/>
                <w:szCs w:val="21"/>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kern w:val="0"/>
                <w:sz w:val="20"/>
                <w:szCs w:val="21"/>
              </w:rPr>
              <w:t>1</w:t>
            </w:r>
          </w:p>
        </w:tc>
        <w:tc>
          <w:tcPr>
            <w:tcW w:w="2835" w:type="dxa"/>
            <w:vAlign w:val="top"/>
          </w:tcPr>
          <w:p>
            <w:pPr>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报告期末债券回购融资余额</w:t>
            </w:r>
          </w:p>
        </w:tc>
        <w:tc>
          <w:tcPr>
            <w:tcW w:w="1843" w:type="dxa"/>
            <w:vAlign w:val="top"/>
          </w:tcPr>
          <w:p>
            <w:pPr>
              <w:jc w:val="center"/>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0</w:t>
            </w:r>
          </w:p>
        </w:tc>
        <w:tc>
          <w:tcPr>
            <w:tcW w:w="2914" w:type="dxa"/>
            <w:vAlign w:val="top"/>
          </w:tcPr>
          <w:p>
            <w:pPr>
              <w:jc w:val="center"/>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0</w:t>
            </w:r>
            <w:r>
              <w:rPr>
                <w:rFonts w:hint="default" w:asciiTheme="minorEastAsia" w:hAnsiTheme="minorEastAsia"/>
                <w:szCs w:val="21"/>
                <w:lang w:val="en-US" w:eastAsia="zh-CN"/>
              </w:rPr>
              <w:t>.00%</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jc w:val="left"/>
        <w:rPr>
          <w:rFonts w:hint="eastAsia" w:asciiTheme="minorEastAsia" w:hAnsiTheme="minorEastAsia"/>
          <w:szCs w:val="21"/>
          <w:lang w:val="en-US" w:eastAsia="zh-CN"/>
        </w:rPr>
      </w:pPr>
      <w:r>
        <w:rPr>
          <w:rFonts w:hint="eastAsia" w:asciiTheme="minorEastAsia" w:hAnsiTheme="minorEastAsia"/>
          <w:szCs w:val="21"/>
          <w:lang w:val="en-US" w:eastAsia="zh-CN"/>
        </w:rPr>
        <w:t>截至2020年06月30日，本产品持仓前十项资产明细如下：</w:t>
      </w:r>
    </w:p>
    <w:p>
      <w:pPr>
        <w:ind w:firstLine="480"/>
        <w:jc w:val="right"/>
        <w:rPr>
          <w:rFonts w:asciiTheme="minorEastAsia" w:hAnsiTheme="minorEastAsia"/>
          <w:szCs w:val="21"/>
        </w:rPr>
      </w:pPr>
      <w:r>
        <w:rPr>
          <w:rFonts w:hint="eastAsia" w:asciiTheme="minorEastAsia" w:hAnsiTheme="minorEastAsia"/>
          <w:szCs w:val="21"/>
        </w:rPr>
        <w:t>单位：人民币元</w:t>
      </w:r>
    </w:p>
    <w:tbl>
      <w:tblPr>
        <w:tblStyle w:val="20"/>
        <w:tblW w:w="8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68"/>
        <w:gridCol w:w="226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序号</w:t>
            </w:r>
          </w:p>
        </w:tc>
        <w:tc>
          <w:tcPr>
            <w:tcW w:w="3868"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 xml:space="preserve">     资产名称</w:t>
            </w:r>
          </w:p>
        </w:tc>
        <w:tc>
          <w:tcPr>
            <w:tcW w:w="226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金额</w:t>
            </w:r>
          </w:p>
        </w:tc>
        <w:tc>
          <w:tcPr>
            <w:tcW w:w="1590"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w:t>
            </w:r>
          </w:p>
        </w:tc>
        <w:tc>
          <w:tcPr>
            <w:tcW w:w="3868"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洛银金融租赁股份有限公司同业借款</w:t>
            </w:r>
          </w:p>
        </w:tc>
        <w:tc>
          <w:tcPr>
            <w:tcW w:w="226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305,270,416.67</w:t>
            </w:r>
          </w:p>
        </w:tc>
        <w:tc>
          <w:tcPr>
            <w:tcW w:w="1590"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29.88%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2</w:t>
            </w:r>
          </w:p>
        </w:tc>
        <w:tc>
          <w:tcPr>
            <w:tcW w:w="3868"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18天津农商二级01</w:t>
            </w:r>
          </w:p>
        </w:tc>
        <w:tc>
          <w:tcPr>
            <w:tcW w:w="226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99,686,147.54</w:t>
            </w:r>
          </w:p>
        </w:tc>
        <w:tc>
          <w:tcPr>
            <w:tcW w:w="1590"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3</w:t>
            </w:r>
          </w:p>
        </w:tc>
        <w:tc>
          <w:tcPr>
            <w:tcW w:w="3868"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19益阳高新PPN001</w:t>
            </w:r>
          </w:p>
        </w:tc>
        <w:tc>
          <w:tcPr>
            <w:tcW w:w="226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85,568,743.17</w:t>
            </w:r>
          </w:p>
        </w:tc>
        <w:tc>
          <w:tcPr>
            <w:tcW w:w="1590"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4</w:t>
            </w:r>
          </w:p>
        </w:tc>
        <w:tc>
          <w:tcPr>
            <w:tcW w:w="3868"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18宁夏银行二级01</w:t>
            </w:r>
          </w:p>
        </w:tc>
        <w:tc>
          <w:tcPr>
            <w:tcW w:w="226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83,662,513.66</w:t>
            </w:r>
          </w:p>
        </w:tc>
        <w:tc>
          <w:tcPr>
            <w:tcW w:w="1590"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5</w:t>
            </w:r>
          </w:p>
        </w:tc>
        <w:tc>
          <w:tcPr>
            <w:tcW w:w="3868"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19九龙园MTN001</w:t>
            </w:r>
          </w:p>
        </w:tc>
        <w:tc>
          <w:tcPr>
            <w:tcW w:w="226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76,081,849.32</w:t>
            </w:r>
          </w:p>
        </w:tc>
        <w:tc>
          <w:tcPr>
            <w:tcW w:w="1590"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6</w:t>
            </w:r>
          </w:p>
        </w:tc>
        <w:tc>
          <w:tcPr>
            <w:tcW w:w="3868"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18江津城建PPN003</w:t>
            </w:r>
          </w:p>
        </w:tc>
        <w:tc>
          <w:tcPr>
            <w:tcW w:w="226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52,433,333.33</w:t>
            </w:r>
          </w:p>
        </w:tc>
        <w:tc>
          <w:tcPr>
            <w:tcW w:w="1590"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7</w:t>
            </w:r>
          </w:p>
        </w:tc>
        <w:tc>
          <w:tcPr>
            <w:tcW w:w="3868"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18珞璜开发PPN001</w:t>
            </w:r>
          </w:p>
        </w:tc>
        <w:tc>
          <w:tcPr>
            <w:tcW w:w="226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47,972,721.31</w:t>
            </w:r>
          </w:p>
        </w:tc>
        <w:tc>
          <w:tcPr>
            <w:tcW w:w="1590"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8</w:t>
            </w:r>
          </w:p>
        </w:tc>
        <w:tc>
          <w:tcPr>
            <w:tcW w:w="3868"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18绍兴城投PPN001</w:t>
            </w:r>
          </w:p>
        </w:tc>
        <w:tc>
          <w:tcPr>
            <w:tcW w:w="226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46,466,323.77</w:t>
            </w:r>
          </w:p>
        </w:tc>
        <w:tc>
          <w:tcPr>
            <w:tcW w:w="1590"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9</w:t>
            </w:r>
          </w:p>
        </w:tc>
        <w:tc>
          <w:tcPr>
            <w:tcW w:w="3868"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19缙云资产PPN001</w:t>
            </w:r>
          </w:p>
        </w:tc>
        <w:tc>
          <w:tcPr>
            <w:tcW w:w="226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43,653,600.00</w:t>
            </w:r>
          </w:p>
        </w:tc>
        <w:tc>
          <w:tcPr>
            <w:tcW w:w="1590"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10</w:t>
            </w:r>
          </w:p>
        </w:tc>
        <w:tc>
          <w:tcPr>
            <w:tcW w:w="3868"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18南川城投PPN001</w:t>
            </w:r>
          </w:p>
        </w:tc>
        <w:tc>
          <w:tcPr>
            <w:tcW w:w="226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42,705,532.79</w:t>
            </w:r>
          </w:p>
        </w:tc>
        <w:tc>
          <w:tcPr>
            <w:tcW w:w="1590"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4.18%</w:t>
            </w:r>
          </w:p>
        </w:tc>
      </w:tr>
    </w:tbl>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inorEastAsia" w:hAnsiTheme="minorEastAsia" w:eastAsiaTheme="minorEastAsia"/>
          <w:b w:val="0"/>
          <w:bCs/>
          <w:sz w:val="18"/>
          <w:szCs w:val="18"/>
          <w:highlight w:val="none"/>
          <w:lang w:val="en-US" w:eastAsia="zh-CN"/>
        </w:rPr>
      </w:pPr>
      <w:r>
        <w:rPr>
          <w:rFonts w:hint="eastAsia" w:asciiTheme="minorEastAsia" w:hAnsiTheme="minorEastAsia"/>
          <w:b w:val="0"/>
          <w:bCs/>
          <w:sz w:val="18"/>
          <w:szCs w:val="18"/>
          <w:highlight w:val="none"/>
          <w:lang w:val="en-US" w:eastAsia="zh-CN"/>
        </w:rPr>
        <w:t>备注：上述资产金额为该期产品资产市值</w:t>
      </w:r>
    </w:p>
    <w:p>
      <w:pPr>
        <w:rPr>
          <w:rFonts w:hint="eastAsia" w:asciiTheme="minorEastAsia" w:hAnsiTheme="minorEastAsia"/>
          <w:szCs w:val="21"/>
        </w:rPr>
      </w:pPr>
    </w:p>
    <w:bookmarkEnd w:id="0"/>
    <w:p>
      <w:pPr>
        <w:rPr>
          <w:rFonts w:asciiTheme="minorEastAsia" w:hAnsiTheme="minorEastAsia"/>
          <w:szCs w:val="21"/>
        </w:rPr>
      </w:pPr>
      <w:r>
        <w:rPr>
          <w:rFonts w:hint="eastAsia" w:asciiTheme="minorEastAsia" w:hAnsiTheme="minorEastAsia"/>
          <w:szCs w:val="21"/>
        </w:rPr>
        <w:t>四</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asciiTheme="minorEastAsia" w:hAnsiTheme="minorEastAsia"/>
        </w:rPr>
      </w:pPr>
      <w:r>
        <w:rPr>
          <w:rFonts w:hint="eastAsia" w:asciiTheme="minorEastAsia" w:hAnsiTheme="minorEastAsia"/>
        </w:rPr>
        <w:t>（三） 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ind w:firstLine="420" w:firstLineChars="200"/>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五</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ind w:firstLine="315" w:firstLineChars="150"/>
        <w:rPr>
          <w:rFonts w:asciiTheme="minorEastAsia" w:hAnsiTheme="minorEastAsia"/>
          <w:szCs w:val="21"/>
        </w:rPr>
      </w:pPr>
    </w:p>
    <w:p>
      <w:pPr>
        <w:spacing w:line="480" w:lineRule="exact"/>
        <w:ind w:firstLine="5250" w:firstLineChars="2500"/>
        <w:jc w:val="both"/>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 xml:space="preserve">                                                    </w:t>
      </w: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7</w:t>
      </w:r>
      <w:r>
        <w:rPr>
          <w:rFonts w:hint="eastAsia" w:asciiTheme="minorEastAsia" w:hAnsiTheme="minorEastAsia"/>
          <w:szCs w:val="21"/>
          <w:lang w:val="en-US" w:eastAsia="zh-CN"/>
        </w:rPr>
        <w:t>月15日</w:t>
      </w:r>
    </w:p>
    <w:p>
      <w:pPr>
        <w:rPr>
          <w:rFonts w:hint="default" w:eastAsiaTheme="minorEastAsia"/>
          <w:lang w:val="en-US" w:eastAsia="zh-CN"/>
        </w:rPr>
      </w:pPr>
      <w:r>
        <w:rPr>
          <w:rFonts w:hint="eastAsia"/>
          <w:lang w:val="en-US" w:eastAsia="zh-CN"/>
        </w:rPr>
        <w:t xml:space="preserve">      </w:t>
      </w:r>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3820A53"/>
    <w:rsid w:val="046451CE"/>
    <w:rsid w:val="07DB680E"/>
    <w:rsid w:val="08613963"/>
    <w:rsid w:val="092D14CE"/>
    <w:rsid w:val="09563133"/>
    <w:rsid w:val="0BD02B2A"/>
    <w:rsid w:val="0C371AAF"/>
    <w:rsid w:val="0FC53136"/>
    <w:rsid w:val="109116D6"/>
    <w:rsid w:val="12413345"/>
    <w:rsid w:val="12931977"/>
    <w:rsid w:val="13814A1B"/>
    <w:rsid w:val="1441580E"/>
    <w:rsid w:val="145B1C45"/>
    <w:rsid w:val="154F13DA"/>
    <w:rsid w:val="182721AC"/>
    <w:rsid w:val="197D5ABF"/>
    <w:rsid w:val="19A54864"/>
    <w:rsid w:val="1BDE0CAD"/>
    <w:rsid w:val="1C760FBE"/>
    <w:rsid w:val="1E853004"/>
    <w:rsid w:val="1FF23D36"/>
    <w:rsid w:val="21ED676D"/>
    <w:rsid w:val="2350060C"/>
    <w:rsid w:val="25E358EE"/>
    <w:rsid w:val="26FD1903"/>
    <w:rsid w:val="27BD45FF"/>
    <w:rsid w:val="29DA3D49"/>
    <w:rsid w:val="2A0F4201"/>
    <w:rsid w:val="2AEB1E5A"/>
    <w:rsid w:val="2FF34915"/>
    <w:rsid w:val="328522BE"/>
    <w:rsid w:val="331E4C1A"/>
    <w:rsid w:val="335601C3"/>
    <w:rsid w:val="33F54821"/>
    <w:rsid w:val="34AC4595"/>
    <w:rsid w:val="35DB54D6"/>
    <w:rsid w:val="37B114AF"/>
    <w:rsid w:val="39BA6599"/>
    <w:rsid w:val="3D441EB4"/>
    <w:rsid w:val="3E2835B7"/>
    <w:rsid w:val="3EBE3EFC"/>
    <w:rsid w:val="422B2661"/>
    <w:rsid w:val="42982300"/>
    <w:rsid w:val="43250476"/>
    <w:rsid w:val="472D2614"/>
    <w:rsid w:val="480011E8"/>
    <w:rsid w:val="49343EE8"/>
    <w:rsid w:val="49CF002C"/>
    <w:rsid w:val="4B1E5A56"/>
    <w:rsid w:val="4E6C5390"/>
    <w:rsid w:val="4F05414C"/>
    <w:rsid w:val="51EC6135"/>
    <w:rsid w:val="572F2943"/>
    <w:rsid w:val="57D83C46"/>
    <w:rsid w:val="586214C2"/>
    <w:rsid w:val="5A622306"/>
    <w:rsid w:val="5AB01723"/>
    <w:rsid w:val="5D5E2859"/>
    <w:rsid w:val="5D8B4F22"/>
    <w:rsid w:val="621F0476"/>
    <w:rsid w:val="63D37DC1"/>
    <w:rsid w:val="671D7CC1"/>
    <w:rsid w:val="687C70C4"/>
    <w:rsid w:val="69074462"/>
    <w:rsid w:val="6C9B0C01"/>
    <w:rsid w:val="6E546A74"/>
    <w:rsid w:val="6EB10902"/>
    <w:rsid w:val="6FA67F07"/>
    <w:rsid w:val="742A5BB1"/>
    <w:rsid w:val="75736568"/>
    <w:rsid w:val="773E6275"/>
    <w:rsid w:val="788C0951"/>
    <w:rsid w:val="79882DEC"/>
    <w:rsid w:val="79FE5971"/>
    <w:rsid w:val="7BA6096B"/>
    <w:rsid w:val="7E881CD4"/>
    <w:rsid w:val="7FCF7803"/>
    <w:rsid w:val="7FE21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7</TotalTime>
  <ScaleCrop>false</ScaleCrop>
  <LinksUpToDate>false</LinksUpToDate>
  <CharactersWithSpaces>660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lulu</cp:lastModifiedBy>
  <cp:lastPrinted>2020-07-21T05:43:06Z</cp:lastPrinted>
  <dcterms:modified xsi:type="dcterms:W3CDTF">2020-07-21T05:43:11Z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