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32"/>
          <w:szCs w:val="32"/>
        </w:rPr>
      </w:pPr>
      <w:bookmarkStart w:id="0" w:name="_Toc524626124"/>
      <w:r>
        <w:rPr>
          <w:rFonts w:hint="eastAsia" w:asciiTheme="minorEastAsia" w:hAnsiTheme="minorEastAsia"/>
          <w:b/>
          <w:sz w:val="32"/>
          <w:szCs w:val="32"/>
        </w:rPr>
        <w:t>重庆农村商业银行江渝财富“天添金”2020年第18期</w:t>
      </w:r>
      <w:r>
        <w:rPr>
          <w:rFonts w:hint="eastAsia" w:asciiTheme="minorEastAsia" w:hAnsiTheme="minorEastAsia"/>
          <w:b/>
          <w:sz w:val="32"/>
          <w:szCs w:val="32"/>
          <w:lang w:val="en-US" w:eastAsia="zh-CN"/>
        </w:rPr>
        <w:t xml:space="preserve">      </w:t>
      </w:r>
      <w:r>
        <w:rPr>
          <w:rFonts w:hint="eastAsia" w:asciiTheme="minorEastAsia" w:hAnsiTheme="minorEastAsia"/>
          <w:b/>
          <w:sz w:val="32"/>
          <w:szCs w:val="32"/>
        </w:rPr>
        <w:t>公募封闭式净值型投资管理报告</w:t>
      </w:r>
    </w:p>
    <w:p>
      <w:pP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产品名称</w:t>
            </w:r>
          </w:p>
        </w:tc>
        <w:tc>
          <w:tcPr>
            <w:tcW w:w="6033" w:type="dxa"/>
          </w:tcPr>
          <w:p>
            <w:pPr>
              <w:rPr>
                <w:rFonts w:asciiTheme="minorEastAsia" w:hAnsiTheme="minorEastAsia"/>
                <w:szCs w:val="21"/>
              </w:rPr>
            </w:pPr>
            <w:r>
              <w:rPr>
                <w:rFonts w:hint="eastAsia" w:asciiTheme="minorEastAsia" w:hAnsiTheme="minorEastAsia"/>
                <w:szCs w:val="21"/>
              </w:rPr>
              <w:t>江渝财富“天添金”2020年第18期公募封闭式净值型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产品编号</w:t>
            </w:r>
          </w:p>
        </w:tc>
        <w:tc>
          <w:tcPr>
            <w:tcW w:w="6033" w:type="dxa"/>
          </w:tcPr>
          <w:p>
            <w:pPr>
              <w:rPr>
                <w:rFonts w:asciiTheme="minorEastAsia" w:hAnsiTheme="minorEastAsia"/>
                <w:szCs w:val="21"/>
              </w:rPr>
            </w:pPr>
            <w:r>
              <w:rPr>
                <w:rFonts w:hint="eastAsia" w:asciiTheme="minorEastAsia" w:hAnsiTheme="minorEastAsia"/>
                <w:szCs w:val="21"/>
              </w:rPr>
              <w:t>12020018GFJ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理财系统登记编码</w:t>
            </w:r>
          </w:p>
        </w:tc>
        <w:tc>
          <w:tcPr>
            <w:tcW w:w="6033" w:type="dxa"/>
          </w:tcPr>
          <w:p>
            <w:pPr>
              <w:rPr>
                <w:rFonts w:asciiTheme="minorEastAsia" w:hAnsiTheme="minorEastAsia"/>
                <w:szCs w:val="21"/>
              </w:rPr>
            </w:pPr>
            <w:r>
              <w:rPr>
                <w:rFonts w:hint="eastAsia" w:asciiTheme="minorEastAsia" w:hAnsiTheme="minorEastAsia"/>
                <w:szCs w:val="21"/>
              </w:rPr>
              <w:t>C1126720000038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产品类型</w:t>
            </w:r>
          </w:p>
        </w:tc>
        <w:tc>
          <w:tcPr>
            <w:tcW w:w="6033" w:type="dxa"/>
          </w:tcPr>
          <w:p>
            <w:pPr>
              <w:rPr>
                <w:rFonts w:asciiTheme="minorEastAsia" w:hAnsiTheme="minorEastAsia"/>
                <w:szCs w:val="21"/>
              </w:rPr>
            </w:pPr>
            <w:r>
              <w:rPr>
                <w:rFonts w:hint="eastAsia" w:asciiTheme="minorEastAsia" w:hAnsiTheme="minorEastAsia"/>
                <w:szCs w:val="21"/>
              </w:rPr>
              <w:t>非保本浮动收益型</w:t>
            </w:r>
            <w:r>
              <w:rPr>
                <w:color w:val="auto"/>
                <w:u w:val="none"/>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产品类别</w:t>
            </w:r>
          </w:p>
        </w:tc>
        <w:tc>
          <w:tcPr>
            <w:tcW w:w="6033" w:type="dxa"/>
          </w:tcPr>
          <w:p>
            <w:pPr>
              <w:rPr>
                <w:rFonts w:hint="eastAsia" w:asciiTheme="minorEastAsia" w:hAnsiTheme="minorEastAsia" w:eastAsiaTheme="minorEastAsia"/>
                <w:szCs w:val="21"/>
                <w:lang w:val="en-US" w:eastAsia="zh-CN"/>
              </w:rPr>
            </w:pPr>
            <w:r>
              <w:rPr>
                <w:rFonts w:hint="eastAsia" w:asciiTheme="minorEastAsia" w:hAnsiTheme="minorEastAsia"/>
                <w:szCs w:val="21"/>
              </w:rPr>
              <w:t>固定收益类</w:t>
            </w:r>
            <w:r>
              <w:rPr>
                <w:color w:val="auto"/>
                <w:u w:val="none"/>
              </w:rPr>
              <w:t>公募</w:t>
            </w:r>
            <w:r>
              <w:rPr>
                <w:rFonts w:hint="eastAsia" w:asciiTheme="minorEastAsia" w:hAnsiTheme="minorEastAsia"/>
                <w:szCs w:val="21"/>
                <w:lang w:val="en-US" w:eastAsia="zh-CN"/>
              </w:rPr>
              <w:t>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内部风险评级</w:t>
            </w:r>
          </w:p>
        </w:tc>
        <w:tc>
          <w:tcPr>
            <w:tcW w:w="6033" w:type="dxa"/>
          </w:tcPr>
          <w:p>
            <w:pPr>
              <w:rPr>
                <w:rFonts w:asciiTheme="minorEastAsia" w:hAnsiTheme="minorEastAsia"/>
                <w:szCs w:val="21"/>
              </w:rPr>
            </w:pPr>
            <w:r>
              <w:rPr>
                <w:rFonts w:hint="eastAsia" w:asciiTheme="minorEastAsia" w:hAnsiTheme="minorEastAsia"/>
                <w:szCs w:val="21"/>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产品存续规模</w:t>
            </w:r>
          </w:p>
        </w:tc>
        <w:tc>
          <w:tcPr>
            <w:tcW w:w="6033" w:type="dxa"/>
          </w:tcPr>
          <w:p>
            <w:pPr>
              <w:rPr>
                <w:rFonts w:asciiTheme="minorEastAsia" w:hAnsiTheme="minorEastAsia"/>
                <w:szCs w:val="21"/>
              </w:rPr>
            </w:pPr>
            <w:r>
              <w:rPr>
                <w:rFonts w:hint="eastAsia" w:asciiTheme="minorEastAsia" w:hAnsiTheme="minorEastAsia"/>
                <w:szCs w:val="21"/>
              </w:rPr>
              <w:t>999,980,000.00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业绩比较</w:t>
            </w:r>
            <w:r>
              <w:rPr>
                <w:rFonts w:asciiTheme="minorEastAsia" w:hAnsiTheme="minorEastAsia"/>
                <w:szCs w:val="21"/>
              </w:rPr>
              <w:t>基准</w:t>
            </w:r>
          </w:p>
        </w:tc>
        <w:tc>
          <w:tcPr>
            <w:tcW w:w="6033" w:type="dxa"/>
          </w:tcPr>
          <w:p>
            <w:pPr>
              <w:rPr>
                <w:rFonts w:hint="eastAsia" w:asciiTheme="minorEastAsia" w:hAnsiTheme="minorEastAsia" w:eastAsiaTheme="minorEastAsia"/>
                <w:szCs w:val="21"/>
                <w:lang w:val="en-US" w:eastAsia="zh-CN"/>
              </w:rPr>
            </w:pPr>
            <w:r>
              <w:rPr>
                <w:rFonts w:hint="eastAsia" w:asciiTheme="minorEastAsia" w:hAnsiTheme="minorEastAsia"/>
                <w:szCs w:val="21"/>
              </w:rPr>
              <w:t>4.05</w:t>
            </w:r>
            <w:r>
              <w:rPr>
                <w:rFonts w:hint="eastAsia" w:asciiTheme="minorEastAsia" w:hAnsiTheme="minorEastAsia"/>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产品成立日</w:t>
            </w:r>
          </w:p>
        </w:tc>
        <w:tc>
          <w:tcPr>
            <w:tcW w:w="6033" w:type="dxa"/>
          </w:tcPr>
          <w:p>
            <w:pPr>
              <w:rPr>
                <w:rFonts w:asciiTheme="minorEastAsia" w:hAnsiTheme="minorEastAsia"/>
                <w:szCs w:val="21"/>
              </w:rPr>
            </w:pPr>
            <w:r>
              <w:rPr>
                <w:rFonts w:hint="eastAsia" w:asciiTheme="minorEastAsia" w:hAnsiTheme="minorEastAsia"/>
                <w:szCs w:val="21"/>
              </w:rPr>
              <w:t>2020-03-10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产品到期日</w:t>
            </w:r>
          </w:p>
        </w:tc>
        <w:tc>
          <w:tcPr>
            <w:tcW w:w="6033" w:type="dxa"/>
          </w:tcPr>
          <w:p>
            <w:pPr>
              <w:rPr>
                <w:rFonts w:asciiTheme="minorEastAsia" w:hAnsiTheme="minorEastAsia"/>
                <w:szCs w:val="21"/>
              </w:rPr>
            </w:pPr>
            <w:r>
              <w:rPr>
                <w:rFonts w:hint="eastAsia" w:asciiTheme="minorEastAsia" w:hAnsiTheme="minorEastAsia"/>
                <w:szCs w:val="21"/>
              </w:rPr>
              <w:t>2020-11-06</w:t>
            </w:r>
            <w:r>
              <w:rPr>
                <w:rFonts w:asciiTheme="minorEastAsia" w:hAnsi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产品托管行</w:t>
            </w:r>
          </w:p>
        </w:tc>
        <w:tc>
          <w:tcPr>
            <w:tcW w:w="6033" w:type="dxa"/>
          </w:tcPr>
          <w:p>
            <w:pPr>
              <w:rPr>
                <w:rFonts w:asciiTheme="minorEastAsia" w:hAnsiTheme="minorEastAsia"/>
                <w:szCs w:val="21"/>
              </w:rPr>
            </w:pPr>
            <w:r>
              <w:rPr>
                <w:rFonts w:hint="eastAsia" w:asciiTheme="minorEastAsia" w:hAnsiTheme="minorEastAsia"/>
                <w:szCs w:val="21"/>
              </w:rPr>
              <w:t>兴业银行股份有限公司重庆分行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产品托管账户</w:t>
            </w:r>
          </w:p>
        </w:tc>
        <w:tc>
          <w:tcPr>
            <w:tcW w:w="6033" w:type="dxa"/>
          </w:tcPr>
          <w:p>
            <w:pPr>
              <w:rPr>
                <w:rFonts w:asciiTheme="minorEastAsia" w:hAnsiTheme="minorEastAsia"/>
                <w:szCs w:val="21"/>
              </w:rPr>
            </w:pPr>
            <w:r>
              <w:rPr>
                <w:rFonts w:hint="eastAsia" w:asciiTheme="minorEastAsia" w:hAnsiTheme="minorEastAsia"/>
                <w:szCs w:val="21"/>
              </w:rPr>
              <w:t>346010100101567204</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二、收益情况</w:t>
      </w:r>
    </w:p>
    <w:p>
      <w:pPr>
        <w:wordWrap w:val="0"/>
        <w:spacing w:line="360" w:lineRule="auto"/>
        <w:jc w:val="right"/>
        <w:rPr>
          <w:rFonts w:asciiTheme="minorEastAsia" w:hAnsiTheme="minorEastAsia"/>
          <w:szCs w:val="21"/>
        </w:rPr>
      </w:pPr>
      <w:r>
        <w:rPr>
          <w:rFonts w:hint="eastAsia" w:asciiTheme="minorEastAsia" w:hAnsiTheme="minorEastAsia"/>
          <w:szCs w:val="21"/>
        </w:rPr>
        <w:t>单位：人民币元</w:t>
      </w:r>
    </w:p>
    <w:tbl>
      <w:tblPr>
        <w:tblStyle w:val="2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rPr>
                <w:rFonts w:asciiTheme="minorEastAsia" w:hAnsiTheme="minorEastAsia"/>
                <w:szCs w:val="21"/>
              </w:rPr>
            </w:pPr>
            <w:r>
              <w:rPr>
                <w:rFonts w:asciiTheme="minorEastAsia" w:hAnsiTheme="minorEastAsia"/>
                <w:szCs w:val="21"/>
              </w:rPr>
              <w:t>期末资产净值</w:t>
            </w:r>
          </w:p>
        </w:tc>
        <w:tc>
          <w:tcPr>
            <w:tcW w:w="5466" w:type="dxa"/>
          </w:tcPr>
          <w:p>
            <w:pPr>
              <w:rPr>
                <w:rFonts w:asciiTheme="minorEastAsia" w:hAnsiTheme="minorEastAsia"/>
                <w:szCs w:val="21"/>
              </w:rPr>
            </w:pPr>
            <w:r>
              <w:rPr>
                <w:rFonts w:hint="eastAsia" w:asciiTheme="minorEastAsia" w:hAnsiTheme="minorEastAsia"/>
                <w:szCs w:val="21"/>
              </w:rPr>
              <w:t>1,012,782,154.82</w:t>
            </w:r>
            <w:r>
              <w:rPr>
                <w:rFonts w:asciiTheme="minorEastAsia" w:hAnsi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rPr>
                <w:rFonts w:asciiTheme="minorEastAsia" w:hAnsiTheme="minorEastAsia"/>
                <w:szCs w:val="21"/>
              </w:rPr>
            </w:pPr>
            <w:r>
              <w:rPr>
                <w:rFonts w:asciiTheme="minorEastAsia" w:hAnsiTheme="minorEastAsia"/>
                <w:szCs w:val="21"/>
              </w:rPr>
              <w:t>期末产品份额净值</w:t>
            </w:r>
          </w:p>
        </w:tc>
        <w:tc>
          <w:tcPr>
            <w:tcW w:w="5466" w:type="dxa"/>
          </w:tcPr>
          <w:p>
            <w:pPr>
              <w:rPr>
                <w:rFonts w:asciiTheme="minorEastAsia" w:hAnsiTheme="minorEastAsia"/>
                <w:szCs w:val="21"/>
              </w:rPr>
            </w:pPr>
            <w:r>
              <w:rPr>
                <w:rFonts w:hint="eastAsia" w:asciiTheme="minorEastAsia" w:hAnsiTheme="minorEastAsia"/>
                <w:szCs w:val="21"/>
              </w:rPr>
              <w:t>1.0128</w:t>
            </w:r>
            <w:r>
              <w:rPr>
                <w:rFonts w:asciiTheme="minorEastAsia" w:hAnsi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rPr>
                <w:rFonts w:asciiTheme="minorEastAsia" w:hAnsiTheme="minorEastAsia"/>
                <w:szCs w:val="21"/>
              </w:rPr>
            </w:pPr>
            <w:r>
              <w:rPr>
                <w:rFonts w:asciiTheme="minorEastAsia" w:hAnsiTheme="minorEastAsia"/>
                <w:szCs w:val="21"/>
              </w:rPr>
              <w:t>期末产品份额累计净值</w:t>
            </w:r>
          </w:p>
        </w:tc>
        <w:tc>
          <w:tcPr>
            <w:tcW w:w="5466" w:type="dxa"/>
          </w:tcPr>
          <w:p>
            <w:pPr>
              <w:rPr>
                <w:rFonts w:asciiTheme="minorEastAsia" w:hAnsiTheme="minorEastAsia"/>
                <w:szCs w:val="21"/>
              </w:rPr>
            </w:pPr>
            <w:r>
              <w:rPr>
                <w:rFonts w:hint="eastAsia" w:asciiTheme="minorEastAsia" w:hAnsiTheme="minorEastAsia"/>
                <w:szCs w:val="21"/>
              </w:rPr>
              <w:t>1.0128</w:t>
            </w:r>
            <w:r>
              <w:rPr>
                <w:rFonts w:asciiTheme="minorEastAsia" w:hAnsiTheme="minorEastAsia"/>
                <w:szCs w:val="21"/>
              </w:rPr>
              <w:t xml:space="preserve">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ind w:firstLine="480"/>
        <w:jc w:val="right"/>
        <w:rPr>
          <w:rFonts w:asciiTheme="minorEastAsia" w:hAnsiTheme="minorEastAsia"/>
          <w:szCs w:val="21"/>
        </w:rPr>
      </w:pPr>
      <w:r>
        <w:rPr>
          <w:rFonts w:asciiTheme="minorEastAsia" w:hAnsiTheme="minorEastAsia"/>
          <w:szCs w:val="21"/>
        </w:rPr>
        <w:t>单位</w:t>
      </w:r>
      <w:r>
        <w:rPr>
          <w:rFonts w:hint="eastAsia" w:asciiTheme="minorEastAsia" w:hAnsiTheme="minorEastAsia"/>
          <w:szCs w:val="21"/>
        </w:rPr>
        <w:t>：人民币</w:t>
      </w:r>
      <w:r>
        <w:rPr>
          <w:rFonts w:asciiTheme="minorEastAsia" w:hAnsiTheme="minorEastAsia"/>
          <w:szCs w:val="21"/>
        </w:rPr>
        <w:t>元</w:t>
      </w:r>
    </w:p>
    <w:tbl>
      <w:tblPr>
        <w:tblStyle w:val="23"/>
        <w:tblW w:w="8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479"/>
        <w:gridCol w:w="2535"/>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asciiTheme="minorEastAsia" w:hAnsiTheme="minorEastAsia"/>
                <w:szCs w:val="21"/>
              </w:rPr>
            </w:pPr>
            <w:r>
              <w:rPr>
                <w:rFonts w:asciiTheme="minorEastAsia" w:hAnsiTheme="minorEastAsia"/>
                <w:szCs w:val="21"/>
              </w:rPr>
              <w:t>序号</w:t>
            </w:r>
          </w:p>
        </w:tc>
        <w:tc>
          <w:tcPr>
            <w:tcW w:w="3479" w:type="dxa"/>
            <w:vAlign w:val="center"/>
          </w:tcPr>
          <w:p>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项目</w:t>
            </w:r>
          </w:p>
        </w:tc>
        <w:tc>
          <w:tcPr>
            <w:tcW w:w="2535" w:type="dxa"/>
            <w:vAlign w:val="center"/>
          </w:tcPr>
          <w:p>
            <w:pPr>
              <w:jc w:val="center"/>
              <w:rPr>
                <w:rFonts w:asciiTheme="minorEastAsia" w:hAnsiTheme="minorEastAsia"/>
                <w:szCs w:val="21"/>
              </w:rPr>
            </w:pPr>
            <w:r>
              <w:rPr>
                <w:rFonts w:asciiTheme="minorEastAsia" w:hAnsiTheme="minorEastAsia"/>
                <w:szCs w:val="21"/>
              </w:rPr>
              <w:t>金额</w:t>
            </w:r>
          </w:p>
        </w:tc>
        <w:tc>
          <w:tcPr>
            <w:tcW w:w="1590" w:type="dxa"/>
            <w:vAlign w:val="center"/>
          </w:tcPr>
          <w:p>
            <w:pPr>
              <w:jc w:val="center"/>
              <w:rPr>
                <w:rFonts w:asciiTheme="minorEastAsia" w:hAnsiTheme="minorEastAsia"/>
                <w:szCs w:val="21"/>
              </w:rPr>
            </w:pPr>
            <w:r>
              <w:rPr>
                <w:rFonts w:asciiTheme="minorEastAsia" w:hAnsiTheme="minorEastAsia"/>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asciiTheme="minorEastAsia" w:hAnsiTheme="minorEastAsia"/>
                <w:szCs w:val="21"/>
              </w:rPr>
            </w:pPr>
            <w:r>
              <w:t>1</w:t>
            </w:r>
          </w:p>
        </w:tc>
        <w:tc>
          <w:tcPr>
            <w:tcW w:w="3479" w:type="dxa"/>
            <w:vAlign w:val="center"/>
          </w:tcPr>
          <w:p>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债券</w:t>
            </w:r>
          </w:p>
        </w:tc>
        <w:tc>
          <w:tcPr>
            <w:tcW w:w="2535" w:type="dxa"/>
            <w:vAlign w:val="bottom"/>
          </w:tcPr>
          <w:p>
            <w:pPr>
              <w:jc w:val="center"/>
              <w:rPr>
                <w:rFonts w:asciiTheme="minorEastAsia" w:hAnsiTheme="minorEastAsia"/>
                <w:szCs w:val="21"/>
                <w:lang w:val="en-US" w:eastAsia="zh-CN"/>
              </w:rPr>
            </w:pPr>
            <w:r>
              <w:rPr>
                <w:rFonts w:hint="default" w:asciiTheme="minorEastAsia" w:hAnsiTheme="minorEastAsia"/>
                <w:szCs w:val="21"/>
                <w:lang w:val="en-US" w:eastAsia="zh-CN"/>
              </w:rPr>
              <w:t>798,115,421.94</w:t>
            </w:r>
          </w:p>
        </w:tc>
        <w:tc>
          <w:tcPr>
            <w:tcW w:w="1590" w:type="dxa"/>
            <w:vAlign w:val="center"/>
          </w:tcPr>
          <w:p>
            <w:pPr>
              <w:jc w:val="center"/>
              <w:rPr>
                <w:rFonts w:asciiTheme="minorEastAsia" w:hAnsiTheme="minorEastAsia"/>
                <w:szCs w:val="21"/>
              </w:rPr>
            </w:pPr>
            <w:r>
              <w:rPr>
                <w:rFonts w:hint="eastAsia" w:asciiTheme="minorEastAsia" w:hAnsiTheme="minorEastAsia"/>
                <w:szCs w:val="21"/>
                <w:lang w:val="en-US" w:eastAsia="zh-CN"/>
              </w:rPr>
              <w:t>78.54</w:t>
            </w:r>
            <w:r>
              <w:rPr>
                <w:rFonts w:asciiTheme="minorEastAsia" w:hAnsi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asciiTheme="minorEastAsia" w:hAnsiTheme="minorEastAsia"/>
                <w:szCs w:val="21"/>
              </w:rPr>
            </w:pPr>
            <w:r>
              <w:t>2</w:t>
            </w:r>
          </w:p>
        </w:tc>
        <w:tc>
          <w:tcPr>
            <w:tcW w:w="3479" w:type="dxa"/>
            <w:vAlign w:val="center"/>
          </w:tcPr>
          <w:p>
            <w:pPr>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同业往来资产</w:t>
            </w:r>
          </w:p>
        </w:tc>
        <w:tc>
          <w:tcPr>
            <w:tcW w:w="2535" w:type="dxa"/>
            <w:vAlign w:val="bottom"/>
          </w:tcPr>
          <w:p>
            <w:pPr>
              <w:jc w:val="center"/>
              <w:rPr>
                <w:rFonts w:asciiTheme="minorEastAsia" w:hAnsiTheme="minorEastAsia"/>
                <w:szCs w:val="21"/>
                <w:lang w:val="en-US" w:eastAsia="zh-CN"/>
              </w:rPr>
            </w:pPr>
            <w:r>
              <w:rPr>
                <w:rFonts w:hint="default" w:asciiTheme="minorEastAsia" w:hAnsiTheme="minorEastAsia"/>
                <w:szCs w:val="21"/>
                <w:lang w:val="en-US" w:eastAsia="zh-CN"/>
              </w:rPr>
              <w:t>218,026,951.44</w:t>
            </w:r>
          </w:p>
        </w:tc>
        <w:tc>
          <w:tcPr>
            <w:tcW w:w="1590" w:type="dxa"/>
            <w:vAlign w:val="center"/>
          </w:tcPr>
          <w:p>
            <w:pPr>
              <w:jc w:val="center"/>
              <w:rPr>
                <w:rFonts w:asciiTheme="minorEastAsia" w:hAnsiTheme="minorEastAsia"/>
                <w:szCs w:val="21"/>
              </w:rPr>
            </w:pPr>
            <w:r>
              <w:rPr>
                <w:rFonts w:hint="eastAsia" w:asciiTheme="minorEastAsia" w:hAnsiTheme="minorEastAsia"/>
                <w:szCs w:val="21"/>
                <w:lang w:val="en-US" w:eastAsia="zh-CN"/>
              </w:rPr>
              <w:t>21.46</w:t>
            </w:r>
            <w:r>
              <w:rPr>
                <w:rFonts w:asciiTheme="minorEastAsia" w:hAnsi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eastAsiaTheme="minorEastAsia"/>
                <w:szCs w:val="21"/>
                <w:lang w:val="en-US" w:eastAsia="zh-CN"/>
              </w:rPr>
            </w:pPr>
            <w:r>
              <w:rPr>
                <w:rFonts w:hint="eastAsia"/>
                <w:lang w:val="en-US" w:eastAsia="zh-CN"/>
              </w:rPr>
              <w:t>3</w:t>
            </w:r>
          </w:p>
        </w:tc>
        <w:tc>
          <w:tcPr>
            <w:tcW w:w="3479" w:type="dxa"/>
            <w:vAlign w:val="center"/>
          </w:tcPr>
          <w:p>
            <w:pPr>
              <w:jc w:val="center"/>
              <w:rPr>
                <w:rFonts w:asciiTheme="minorEastAsia" w:hAnsiTheme="minorEastAsia"/>
                <w:szCs w:val="21"/>
              </w:rPr>
            </w:pPr>
            <w:r>
              <w:t>合计</w:t>
            </w:r>
          </w:p>
        </w:tc>
        <w:tc>
          <w:tcPr>
            <w:tcW w:w="2535" w:type="dxa"/>
            <w:vAlign w:val="center"/>
          </w:tcPr>
          <w:p>
            <w:pPr>
              <w:jc w:val="center"/>
              <w:rPr>
                <w:rFonts w:asciiTheme="minorEastAsia" w:hAnsiTheme="minorEastAsia"/>
                <w:szCs w:val="21"/>
              </w:rPr>
            </w:pPr>
            <w:r>
              <w:rPr>
                <w:rFonts w:asciiTheme="minorEastAsia" w:hAnsiTheme="minorEastAsia"/>
                <w:szCs w:val="21"/>
              </w:rPr>
              <w:t>1,016,142,373.38</w:t>
            </w:r>
          </w:p>
        </w:tc>
        <w:tc>
          <w:tcPr>
            <w:tcW w:w="1590" w:type="dxa"/>
            <w:vAlign w:val="center"/>
          </w:tcPr>
          <w:p>
            <w:pPr>
              <w:jc w:val="center"/>
              <w:rPr>
                <w:rFonts w:asciiTheme="minorEastAsia" w:hAnsiTheme="minorEastAsia"/>
                <w:szCs w:val="21"/>
              </w:rPr>
            </w:pPr>
            <w:r>
              <w:rPr>
                <w:rFonts w:asciiTheme="minorEastAsia" w:hAnsiTheme="minorEastAsia"/>
                <w:szCs w:val="21"/>
              </w:rPr>
              <w:t>100.00%</w:t>
            </w:r>
          </w:p>
        </w:tc>
      </w:tr>
    </w:tbl>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（二）投资组合回购情况</w:t>
      </w:r>
    </w:p>
    <w:p>
      <w:pPr>
        <w:ind w:firstLine="480"/>
        <w:jc w:val="right"/>
        <w:rPr>
          <w:rFonts w:asciiTheme="minorEastAsia" w:hAnsiTheme="minorEastAsia"/>
          <w:szCs w:val="21"/>
        </w:rPr>
      </w:pPr>
      <w:r>
        <w:rPr>
          <w:rFonts w:hint="eastAsia" w:asciiTheme="minorEastAsia" w:hAnsiTheme="minorEastAsia"/>
          <w:szCs w:val="21"/>
        </w:rPr>
        <w:t>单位：人民币元</w:t>
      </w:r>
    </w:p>
    <w:tbl>
      <w:tblPr>
        <w:tblStyle w:val="2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835"/>
        <w:gridCol w:w="1843"/>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tcPr>
          <w:p>
            <w:pPr>
              <w:jc w:val="center"/>
            </w:pPr>
            <w:r>
              <w:t>序号</w:t>
            </w:r>
          </w:p>
        </w:tc>
        <w:tc>
          <w:tcPr>
            <w:tcW w:w="2835" w:type="dxa"/>
          </w:tcPr>
          <w:p>
            <w:pPr>
              <w:jc w:val="center"/>
              <w:rPr>
                <w:rFonts w:hint="eastAsia" w:eastAsiaTheme="minorEastAsia"/>
                <w:lang w:val="en-US" w:eastAsia="zh-CN"/>
              </w:rPr>
            </w:pPr>
            <w:r>
              <w:rPr>
                <w:rFonts w:hint="eastAsia"/>
                <w:lang w:val="en-US" w:eastAsia="zh-CN"/>
              </w:rPr>
              <w:t>项目</w:t>
            </w:r>
          </w:p>
        </w:tc>
        <w:tc>
          <w:tcPr>
            <w:tcW w:w="1843" w:type="dxa"/>
          </w:tcPr>
          <w:p>
            <w:pPr>
              <w:jc w:val="center"/>
            </w:pPr>
            <w:r>
              <w:t>金额</w:t>
            </w:r>
          </w:p>
        </w:tc>
        <w:tc>
          <w:tcPr>
            <w:tcW w:w="2914" w:type="dxa"/>
          </w:tcPr>
          <w:p>
            <w:pPr>
              <w:jc w:val="center"/>
            </w:pPr>
            <w:r>
              <w:rPr>
                <w:rFonts w:hint="eastAsia"/>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top"/>
          </w:tcPr>
          <w:p>
            <w:pPr>
              <w:jc w:val="center"/>
              <w:rPr>
                <w:lang w:val="en-US" w:eastAsia="zh-CN"/>
              </w:rPr>
            </w:pPr>
            <w:r>
              <w:rPr>
                <w:rFonts w:hint="eastAsia"/>
              </w:rPr>
              <w:t>1</w:t>
            </w:r>
          </w:p>
        </w:tc>
        <w:tc>
          <w:tcPr>
            <w:tcW w:w="2835" w:type="dxa"/>
            <w:vAlign w:val="top"/>
          </w:tcPr>
          <w:p>
            <w:pPr>
              <w:jc w:val="center"/>
              <w:rPr>
                <w:rFonts w:asciiTheme="minorEastAsia" w:hAnsiTheme="minorEastAsia"/>
                <w:szCs w:val="21"/>
                <w:lang w:val="en-US" w:eastAsia="zh-CN"/>
              </w:rPr>
            </w:pPr>
            <w:r>
              <w:rPr>
                <w:rFonts w:hint="eastAsia" w:asciiTheme="minorEastAsia" w:hAnsiTheme="minorEastAsia"/>
                <w:szCs w:val="21"/>
              </w:rPr>
              <w:t>报告期末债券回购融资余额</w:t>
            </w:r>
          </w:p>
        </w:tc>
        <w:tc>
          <w:tcPr>
            <w:tcW w:w="1843" w:type="dxa"/>
            <w:vAlign w:val="top"/>
          </w:tcPr>
          <w:p>
            <w:pPr>
              <w:jc w:val="center"/>
              <w:rPr>
                <w:rFonts w:asciiTheme="minorEastAsia" w:hAnsiTheme="minorEastAsia"/>
                <w:szCs w:val="21"/>
                <w:lang w:val="en-US" w:eastAsia="zh-CN"/>
              </w:rPr>
            </w:pPr>
            <w:r>
              <w:rPr>
                <w:rFonts w:hint="eastAsia" w:asciiTheme="minorEastAsia" w:hAnsiTheme="minorEastAsia"/>
                <w:szCs w:val="21"/>
              </w:rPr>
              <w:t>0</w:t>
            </w:r>
          </w:p>
        </w:tc>
        <w:tc>
          <w:tcPr>
            <w:tcW w:w="2914" w:type="dxa"/>
            <w:vAlign w:val="top"/>
          </w:tcPr>
          <w:p>
            <w:pPr>
              <w:jc w:val="center"/>
              <w:rPr>
                <w:rFonts w:asciiTheme="minorEastAsia" w:hAnsiTheme="minorEastAsia"/>
                <w:szCs w:val="21"/>
                <w:lang w:val="en-US" w:eastAsia="zh-CN"/>
              </w:rPr>
            </w:pPr>
            <w:r>
              <w:rPr>
                <w:rFonts w:hint="eastAsia" w:asciiTheme="minorEastAsia" w:hAnsiTheme="minorEastAsia"/>
                <w:szCs w:val="21"/>
              </w:rPr>
              <w:t>0</w:t>
            </w:r>
            <w:r>
              <w:rPr>
                <w:rFonts w:asciiTheme="minorEastAsia" w:hAnsiTheme="minorEastAsia"/>
                <w:szCs w:val="21"/>
              </w:rPr>
              <w:t>.00%</w:t>
            </w: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100%</w:t>
      </w:r>
      <w:r>
        <w:rPr>
          <w:rFonts w:hint="eastAsia" w:asciiTheme="minorEastAsia" w:hAnsiTheme="minorEastAsia"/>
          <w:szCs w:val="21"/>
        </w:rPr>
        <w:t>。</w:t>
      </w:r>
    </w:p>
    <w:p>
      <w:pPr>
        <w:ind w:firstLine="480"/>
        <w:jc w:val="right"/>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rPr>
          <w:rFonts w:asciiTheme="minorEastAsia" w:hAnsiTheme="minorEastAsia"/>
          <w:szCs w:val="21"/>
        </w:rPr>
      </w:pPr>
      <w:r>
        <w:rPr>
          <w:rFonts w:hint="eastAsia" w:asciiTheme="minorEastAsia" w:hAnsiTheme="minorEastAsia"/>
          <w:szCs w:val="21"/>
        </w:rPr>
        <w:t>截至2020年06月30日，本产品持仓前十项资产明细如下：</w:t>
      </w:r>
    </w:p>
    <w:p>
      <w:pPr>
        <w:ind w:firstLine="480"/>
        <w:jc w:val="right"/>
        <w:rPr>
          <w:rFonts w:asciiTheme="minorEastAsia" w:hAnsiTheme="minorEastAsia"/>
          <w:szCs w:val="21"/>
        </w:rPr>
      </w:pPr>
      <w:r>
        <w:rPr>
          <w:rFonts w:hint="eastAsia" w:asciiTheme="minorEastAsia" w:hAnsiTheme="minorEastAsia"/>
          <w:szCs w:val="21"/>
        </w:rPr>
        <w:t>单位：人民币元</w:t>
      </w:r>
    </w:p>
    <w:tbl>
      <w:tblPr>
        <w:tblStyle w:val="23"/>
        <w:tblW w:w="8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823"/>
        <w:gridCol w:w="2175"/>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序号</w:t>
            </w:r>
          </w:p>
        </w:tc>
        <w:tc>
          <w:tcPr>
            <w:tcW w:w="3823" w:type="dxa"/>
            <w:vAlign w:val="center"/>
          </w:tcPr>
          <w:p>
            <w:pPr>
              <w:jc w:val="center"/>
              <w:rPr>
                <w:rFonts w:hint="eastAsia" w:asciiTheme="minorEastAsia" w:hAnsiTheme="minorEastAsia"/>
                <w:szCs w:val="21"/>
              </w:rPr>
            </w:pPr>
            <w:r>
              <w:rPr>
                <w:rFonts w:hint="eastAsia" w:asciiTheme="minorEastAsia" w:hAnsiTheme="minorEastAsia"/>
                <w:szCs w:val="21"/>
              </w:rPr>
              <w:t>资产名称</w:t>
            </w:r>
          </w:p>
        </w:tc>
        <w:tc>
          <w:tcPr>
            <w:tcW w:w="2175" w:type="dxa"/>
            <w:vAlign w:val="center"/>
          </w:tcPr>
          <w:p>
            <w:pPr>
              <w:jc w:val="center"/>
              <w:rPr>
                <w:rFonts w:hint="eastAsia" w:asciiTheme="minorEastAsia" w:hAnsiTheme="minorEastAsia"/>
                <w:szCs w:val="21"/>
              </w:rPr>
            </w:pPr>
            <w:r>
              <w:rPr>
                <w:rFonts w:hint="eastAsia" w:asciiTheme="minorEastAsia" w:hAnsiTheme="minorEastAsia"/>
                <w:szCs w:val="21"/>
              </w:rPr>
              <w:t>金额</w:t>
            </w:r>
          </w:p>
        </w:tc>
        <w:tc>
          <w:tcPr>
            <w:tcW w:w="1695" w:type="dxa"/>
            <w:vAlign w:val="center"/>
          </w:tcPr>
          <w:p>
            <w:pPr>
              <w:jc w:val="center"/>
              <w:rPr>
                <w:rFonts w:hint="eastAsia" w:asciiTheme="minorEastAsia" w:hAnsiTheme="minorEastAsia"/>
                <w:szCs w:val="21"/>
              </w:rPr>
            </w:pPr>
            <w:r>
              <w:rPr>
                <w:rFonts w:hint="eastAsia" w:asciiTheme="minorEastAsia" w:hAnsiTheme="minorEastAsia"/>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1</w:t>
            </w:r>
          </w:p>
        </w:tc>
        <w:tc>
          <w:tcPr>
            <w:tcW w:w="3823" w:type="dxa"/>
            <w:vAlign w:val="center"/>
          </w:tcPr>
          <w:p>
            <w:pPr>
              <w:jc w:val="center"/>
              <w:rPr>
                <w:rFonts w:hint="eastAsia" w:asciiTheme="minorEastAsia" w:hAnsiTheme="minorEastAsia" w:eastAsiaTheme="minorEastAsia"/>
                <w:szCs w:val="21"/>
                <w:lang w:val="en-US" w:eastAsia="zh-CN"/>
              </w:rPr>
            </w:pPr>
            <w:r>
              <w:rPr>
                <w:rFonts w:hint="eastAsia" w:asciiTheme="minorEastAsia" w:hAnsiTheme="minorEastAsia"/>
                <w:szCs w:val="21"/>
              </w:rPr>
              <w:t>山东通达金融租赁有限公司</w:t>
            </w:r>
            <w:r>
              <w:rPr>
                <w:rFonts w:hint="eastAsia" w:asciiTheme="minorEastAsia" w:hAnsiTheme="minorEastAsia"/>
                <w:szCs w:val="21"/>
                <w:lang w:val="en-US" w:eastAsia="zh-CN"/>
              </w:rPr>
              <w:t>同业借款</w:t>
            </w:r>
          </w:p>
        </w:tc>
        <w:tc>
          <w:tcPr>
            <w:tcW w:w="2175" w:type="dxa"/>
            <w:vAlign w:val="center"/>
          </w:tcPr>
          <w:p>
            <w:pPr>
              <w:jc w:val="center"/>
              <w:rPr>
                <w:rFonts w:hint="eastAsia" w:asciiTheme="minorEastAsia" w:hAnsiTheme="minorEastAsia"/>
                <w:szCs w:val="21"/>
              </w:rPr>
            </w:pPr>
            <w:r>
              <w:rPr>
                <w:rFonts w:hint="eastAsia" w:asciiTheme="minorEastAsia" w:hAnsiTheme="minorEastAsia"/>
                <w:szCs w:val="21"/>
              </w:rPr>
              <w:t>202,146,666.67</w:t>
            </w:r>
          </w:p>
        </w:tc>
        <w:tc>
          <w:tcPr>
            <w:tcW w:w="1695" w:type="dxa"/>
            <w:vAlign w:val="center"/>
          </w:tcPr>
          <w:p>
            <w:pPr>
              <w:jc w:val="center"/>
              <w:rPr>
                <w:rFonts w:hint="eastAsia" w:asciiTheme="minorEastAsia" w:hAnsiTheme="minorEastAsia"/>
                <w:szCs w:val="21"/>
              </w:rPr>
            </w:pPr>
            <w:r>
              <w:rPr>
                <w:rFonts w:hint="eastAsia" w:asciiTheme="minorEastAsia" w:hAnsiTheme="minorEastAsia"/>
                <w:szCs w:val="21"/>
              </w:rPr>
              <w:t>19.89%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2</w:t>
            </w:r>
          </w:p>
        </w:tc>
        <w:tc>
          <w:tcPr>
            <w:tcW w:w="3823" w:type="dxa"/>
            <w:vAlign w:val="center"/>
          </w:tcPr>
          <w:p>
            <w:pPr>
              <w:jc w:val="center"/>
              <w:rPr>
                <w:rFonts w:hint="eastAsia" w:asciiTheme="minorEastAsia" w:hAnsiTheme="minorEastAsia"/>
                <w:szCs w:val="21"/>
              </w:rPr>
            </w:pPr>
            <w:r>
              <w:rPr>
                <w:rFonts w:hint="eastAsia" w:asciiTheme="minorEastAsia" w:hAnsiTheme="minorEastAsia"/>
                <w:szCs w:val="21"/>
              </w:rPr>
              <w:t>19大连银行CD123</w:t>
            </w:r>
          </w:p>
        </w:tc>
        <w:tc>
          <w:tcPr>
            <w:tcW w:w="2175" w:type="dxa"/>
            <w:vAlign w:val="center"/>
          </w:tcPr>
          <w:p>
            <w:pPr>
              <w:jc w:val="center"/>
              <w:rPr>
                <w:rFonts w:hint="eastAsia" w:asciiTheme="minorEastAsia" w:hAnsiTheme="minorEastAsia"/>
                <w:szCs w:val="21"/>
              </w:rPr>
            </w:pPr>
            <w:r>
              <w:rPr>
                <w:rFonts w:hint="eastAsia" w:asciiTheme="minorEastAsia" w:hAnsiTheme="minorEastAsia"/>
                <w:szCs w:val="21"/>
              </w:rPr>
              <w:t>99,909,261.88</w:t>
            </w:r>
          </w:p>
        </w:tc>
        <w:tc>
          <w:tcPr>
            <w:tcW w:w="1695" w:type="dxa"/>
            <w:vAlign w:val="center"/>
          </w:tcPr>
          <w:p>
            <w:pPr>
              <w:jc w:val="center"/>
              <w:rPr>
                <w:rFonts w:hint="eastAsia" w:asciiTheme="minorEastAsia" w:hAnsiTheme="minorEastAsia"/>
                <w:szCs w:val="21"/>
              </w:rPr>
            </w:pPr>
            <w:r>
              <w:rPr>
                <w:rFonts w:hint="eastAsia" w:asciiTheme="minorEastAsia" w:hAnsiTheme="minorEastAsia"/>
                <w:szCs w:val="21"/>
              </w:rPr>
              <w:t>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3</w:t>
            </w:r>
          </w:p>
        </w:tc>
        <w:tc>
          <w:tcPr>
            <w:tcW w:w="3823" w:type="dxa"/>
            <w:vAlign w:val="center"/>
          </w:tcPr>
          <w:p>
            <w:pPr>
              <w:jc w:val="center"/>
              <w:rPr>
                <w:rFonts w:hint="eastAsia" w:asciiTheme="minorEastAsia" w:hAnsiTheme="minorEastAsia"/>
                <w:szCs w:val="21"/>
              </w:rPr>
            </w:pPr>
            <w:r>
              <w:rPr>
                <w:rFonts w:hint="eastAsia" w:asciiTheme="minorEastAsia" w:hAnsiTheme="minorEastAsia"/>
                <w:szCs w:val="21"/>
              </w:rPr>
              <w:t>17湘岳阳城建ZR002</w:t>
            </w:r>
          </w:p>
        </w:tc>
        <w:tc>
          <w:tcPr>
            <w:tcW w:w="2175" w:type="dxa"/>
            <w:vAlign w:val="center"/>
          </w:tcPr>
          <w:p>
            <w:pPr>
              <w:jc w:val="center"/>
              <w:rPr>
                <w:rFonts w:hint="eastAsia" w:asciiTheme="minorEastAsia" w:hAnsiTheme="minorEastAsia"/>
                <w:szCs w:val="21"/>
              </w:rPr>
            </w:pPr>
            <w:r>
              <w:rPr>
                <w:rFonts w:hint="eastAsia" w:asciiTheme="minorEastAsia" w:hAnsiTheme="minorEastAsia"/>
                <w:szCs w:val="21"/>
              </w:rPr>
              <w:t>96,038,196.72</w:t>
            </w:r>
          </w:p>
        </w:tc>
        <w:tc>
          <w:tcPr>
            <w:tcW w:w="1695" w:type="dxa"/>
            <w:vAlign w:val="center"/>
          </w:tcPr>
          <w:p>
            <w:pPr>
              <w:jc w:val="center"/>
              <w:rPr>
                <w:rFonts w:hint="eastAsia" w:asciiTheme="minorEastAsia" w:hAnsiTheme="minorEastAsia"/>
                <w:szCs w:val="21"/>
              </w:rPr>
            </w:pPr>
            <w:r>
              <w:rPr>
                <w:rFonts w:hint="eastAsia" w:asciiTheme="minorEastAsia" w:hAnsiTheme="minorEastAsia"/>
                <w:szCs w:val="21"/>
              </w:rPr>
              <w:t>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4</w:t>
            </w:r>
          </w:p>
        </w:tc>
        <w:tc>
          <w:tcPr>
            <w:tcW w:w="3823" w:type="dxa"/>
            <w:vAlign w:val="center"/>
          </w:tcPr>
          <w:p>
            <w:pPr>
              <w:jc w:val="center"/>
              <w:rPr>
                <w:rFonts w:hint="eastAsia" w:asciiTheme="minorEastAsia" w:hAnsiTheme="minorEastAsia"/>
                <w:szCs w:val="21"/>
              </w:rPr>
            </w:pPr>
            <w:r>
              <w:rPr>
                <w:rFonts w:hint="eastAsia" w:asciiTheme="minorEastAsia" w:hAnsiTheme="minorEastAsia"/>
                <w:szCs w:val="21"/>
              </w:rPr>
              <w:t>20渝万盛投资ZR002</w:t>
            </w:r>
          </w:p>
        </w:tc>
        <w:tc>
          <w:tcPr>
            <w:tcW w:w="2175" w:type="dxa"/>
            <w:vAlign w:val="center"/>
          </w:tcPr>
          <w:p>
            <w:pPr>
              <w:jc w:val="center"/>
              <w:rPr>
                <w:rFonts w:hint="eastAsia" w:asciiTheme="minorEastAsia" w:hAnsiTheme="minorEastAsia"/>
                <w:szCs w:val="21"/>
              </w:rPr>
            </w:pPr>
            <w:r>
              <w:rPr>
                <w:rFonts w:hint="eastAsia" w:asciiTheme="minorEastAsia" w:hAnsiTheme="minorEastAsia"/>
                <w:szCs w:val="21"/>
              </w:rPr>
              <w:t>91,678,684.93</w:t>
            </w:r>
          </w:p>
        </w:tc>
        <w:tc>
          <w:tcPr>
            <w:tcW w:w="1695" w:type="dxa"/>
            <w:vAlign w:val="center"/>
          </w:tcPr>
          <w:p>
            <w:pPr>
              <w:jc w:val="center"/>
              <w:rPr>
                <w:rFonts w:hint="eastAsia" w:asciiTheme="minorEastAsia" w:hAnsiTheme="minorEastAsia"/>
                <w:szCs w:val="21"/>
              </w:rPr>
            </w:pPr>
            <w:r>
              <w:rPr>
                <w:rFonts w:hint="eastAsia" w:asciiTheme="minorEastAsia" w:hAnsiTheme="minorEastAsia"/>
                <w:szCs w:val="21"/>
              </w:rPr>
              <w:t>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5</w:t>
            </w:r>
          </w:p>
        </w:tc>
        <w:tc>
          <w:tcPr>
            <w:tcW w:w="3823" w:type="dxa"/>
            <w:vAlign w:val="center"/>
          </w:tcPr>
          <w:p>
            <w:pPr>
              <w:jc w:val="center"/>
              <w:rPr>
                <w:rFonts w:hint="eastAsia" w:asciiTheme="minorEastAsia" w:hAnsiTheme="minorEastAsia"/>
                <w:szCs w:val="21"/>
              </w:rPr>
            </w:pPr>
            <w:r>
              <w:rPr>
                <w:rFonts w:hint="eastAsia" w:asciiTheme="minorEastAsia" w:hAnsiTheme="minorEastAsia"/>
                <w:szCs w:val="21"/>
              </w:rPr>
              <w:t>20铜梁01</w:t>
            </w:r>
          </w:p>
        </w:tc>
        <w:tc>
          <w:tcPr>
            <w:tcW w:w="2175" w:type="dxa"/>
            <w:vAlign w:val="center"/>
          </w:tcPr>
          <w:p>
            <w:pPr>
              <w:jc w:val="center"/>
              <w:rPr>
                <w:rFonts w:hint="eastAsia" w:asciiTheme="minorEastAsia" w:hAnsiTheme="minorEastAsia"/>
                <w:szCs w:val="21"/>
              </w:rPr>
            </w:pPr>
            <w:r>
              <w:rPr>
                <w:rFonts w:hint="eastAsia" w:asciiTheme="minorEastAsia" w:hAnsiTheme="minorEastAsia"/>
                <w:szCs w:val="21"/>
              </w:rPr>
              <w:t>91,565,260.27</w:t>
            </w:r>
          </w:p>
        </w:tc>
        <w:tc>
          <w:tcPr>
            <w:tcW w:w="1695" w:type="dxa"/>
            <w:vAlign w:val="center"/>
          </w:tcPr>
          <w:p>
            <w:pPr>
              <w:jc w:val="center"/>
              <w:rPr>
                <w:rFonts w:hint="eastAsia" w:asciiTheme="minorEastAsia" w:hAnsiTheme="minorEastAsia"/>
                <w:szCs w:val="21"/>
              </w:rPr>
            </w:pPr>
            <w:r>
              <w:rPr>
                <w:rFonts w:hint="eastAsia" w:asciiTheme="minorEastAsia" w:hAnsiTheme="minorEastAsia"/>
                <w:szCs w:val="21"/>
              </w:rPr>
              <w:t>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6</w:t>
            </w:r>
          </w:p>
        </w:tc>
        <w:tc>
          <w:tcPr>
            <w:tcW w:w="3823" w:type="dxa"/>
            <w:vAlign w:val="center"/>
          </w:tcPr>
          <w:p>
            <w:pPr>
              <w:jc w:val="center"/>
              <w:rPr>
                <w:rFonts w:hint="eastAsia" w:asciiTheme="minorEastAsia" w:hAnsiTheme="minorEastAsia"/>
                <w:szCs w:val="21"/>
              </w:rPr>
            </w:pPr>
            <w:r>
              <w:rPr>
                <w:rFonts w:hint="eastAsia" w:asciiTheme="minorEastAsia" w:hAnsiTheme="minorEastAsia"/>
                <w:szCs w:val="21"/>
              </w:rPr>
              <w:t>17渝惠农投资ZR001</w:t>
            </w:r>
          </w:p>
        </w:tc>
        <w:tc>
          <w:tcPr>
            <w:tcW w:w="2175" w:type="dxa"/>
            <w:vAlign w:val="center"/>
          </w:tcPr>
          <w:p>
            <w:pPr>
              <w:jc w:val="center"/>
              <w:rPr>
                <w:rFonts w:hint="eastAsia" w:asciiTheme="minorEastAsia" w:hAnsiTheme="minorEastAsia"/>
                <w:szCs w:val="21"/>
              </w:rPr>
            </w:pPr>
            <w:r>
              <w:rPr>
                <w:rFonts w:hint="eastAsia" w:asciiTheme="minorEastAsia" w:hAnsiTheme="minorEastAsia"/>
                <w:szCs w:val="21"/>
              </w:rPr>
              <w:t>91,052,852.46</w:t>
            </w:r>
          </w:p>
        </w:tc>
        <w:tc>
          <w:tcPr>
            <w:tcW w:w="1695" w:type="dxa"/>
            <w:vAlign w:val="center"/>
          </w:tcPr>
          <w:p>
            <w:pPr>
              <w:jc w:val="center"/>
              <w:rPr>
                <w:rFonts w:hint="eastAsia" w:asciiTheme="minorEastAsia" w:hAnsiTheme="minorEastAsia"/>
                <w:szCs w:val="21"/>
              </w:rPr>
            </w:pPr>
            <w:r>
              <w:rPr>
                <w:rFonts w:hint="eastAsia" w:asciiTheme="minorEastAsia" w:hAnsiTheme="minorEastAsia"/>
                <w:szCs w:val="21"/>
              </w:rPr>
              <w:t>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7</w:t>
            </w:r>
          </w:p>
        </w:tc>
        <w:tc>
          <w:tcPr>
            <w:tcW w:w="3823" w:type="dxa"/>
            <w:vAlign w:val="center"/>
          </w:tcPr>
          <w:p>
            <w:pPr>
              <w:jc w:val="center"/>
              <w:rPr>
                <w:rFonts w:hint="eastAsia" w:asciiTheme="minorEastAsia" w:hAnsiTheme="minorEastAsia"/>
                <w:szCs w:val="21"/>
              </w:rPr>
            </w:pPr>
            <w:r>
              <w:rPr>
                <w:rFonts w:hint="eastAsia" w:asciiTheme="minorEastAsia" w:hAnsiTheme="minorEastAsia"/>
                <w:szCs w:val="21"/>
              </w:rPr>
              <w:t>16重庆茶园PPN001</w:t>
            </w:r>
          </w:p>
        </w:tc>
        <w:tc>
          <w:tcPr>
            <w:tcW w:w="2175" w:type="dxa"/>
            <w:vAlign w:val="center"/>
          </w:tcPr>
          <w:p>
            <w:pPr>
              <w:jc w:val="center"/>
              <w:rPr>
                <w:rFonts w:hint="eastAsia" w:asciiTheme="minorEastAsia" w:hAnsiTheme="minorEastAsia"/>
                <w:szCs w:val="21"/>
              </w:rPr>
            </w:pPr>
            <w:r>
              <w:rPr>
                <w:rFonts w:hint="eastAsia" w:asciiTheme="minorEastAsia" w:hAnsiTheme="minorEastAsia"/>
                <w:szCs w:val="21"/>
              </w:rPr>
              <w:t>89,134,115.07</w:t>
            </w:r>
          </w:p>
        </w:tc>
        <w:tc>
          <w:tcPr>
            <w:tcW w:w="1695" w:type="dxa"/>
            <w:vAlign w:val="center"/>
          </w:tcPr>
          <w:p>
            <w:pPr>
              <w:jc w:val="center"/>
              <w:rPr>
                <w:rFonts w:hint="eastAsia" w:asciiTheme="minorEastAsia" w:hAnsiTheme="minorEastAsia"/>
                <w:szCs w:val="21"/>
              </w:rPr>
            </w:pPr>
            <w:r>
              <w:rPr>
                <w:rFonts w:hint="eastAsia" w:asciiTheme="minorEastAsia" w:hAnsiTheme="minorEastAsia"/>
                <w:szCs w:val="21"/>
              </w:rPr>
              <w:t>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8</w:t>
            </w:r>
          </w:p>
        </w:tc>
        <w:tc>
          <w:tcPr>
            <w:tcW w:w="3823" w:type="dxa"/>
            <w:vAlign w:val="center"/>
          </w:tcPr>
          <w:p>
            <w:pPr>
              <w:jc w:val="center"/>
              <w:rPr>
                <w:rFonts w:hint="eastAsia" w:asciiTheme="minorEastAsia" w:hAnsiTheme="minorEastAsia"/>
                <w:szCs w:val="21"/>
              </w:rPr>
            </w:pPr>
            <w:r>
              <w:rPr>
                <w:rFonts w:hint="eastAsia" w:asciiTheme="minorEastAsia" w:hAnsiTheme="minorEastAsia"/>
                <w:szCs w:val="21"/>
              </w:rPr>
              <w:t>17渝长寿开投ZR001</w:t>
            </w:r>
          </w:p>
        </w:tc>
        <w:tc>
          <w:tcPr>
            <w:tcW w:w="2175" w:type="dxa"/>
            <w:vAlign w:val="center"/>
          </w:tcPr>
          <w:p>
            <w:pPr>
              <w:jc w:val="center"/>
              <w:rPr>
                <w:rFonts w:hint="eastAsia" w:asciiTheme="minorEastAsia" w:hAnsiTheme="minorEastAsia"/>
                <w:szCs w:val="21"/>
              </w:rPr>
            </w:pPr>
            <w:r>
              <w:rPr>
                <w:rFonts w:hint="eastAsia" w:asciiTheme="minorEastAsia" w:hAnsiTheme="minorEastAsia"/>
                <w:szCs w:val="21"/>
              </w:rPr>
              <w:t>84,640,020.49</w:t>
            </w:r>
          </w:p>
        </w:tc>
        <w:tc>
          <w:tcPr>
            <w:tcW w:w="1695" w:type="dxa"/>
            <w:vAlign w:val="center"/>
          </w:tcPr>
          <w:p>
            <w:pPr>
              <w:jc w:val="center"/>
              <w:rPr>
                <w:rFonts w:hint="eastAsia" w:asciiTheme="minorEastAsia" w:hAnsiTheme="minorEastAsia"/>
                <w:szCs w:val="21"/>
              </w:rPr>
            </w:pPr>
            <w:r>
              <w:rPr>
                <w:rFonts w:hint="eastAsia" w:asciiTheme="minorEastAsia" w:hAnsiTheme="minorEastAsia"/>
                <w:szCs w:val="21"/>
              </w:rPr>
              <w:t>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9</w:t>
            </w:r>
          </w:p>
        </w:tc>
        <w:tc>
          <w:tcPr>
            <w:tcW w:w="3823" w:type="dxa"/>
            <w:vAlign w:val="center"/>
          </w:tcPr>
          <w:p>
            <w:pPr>
              <w:jc w:val="center"/>
              <w:rPr>
                <w:rFonts w:hint="eastAsia" w:asciiTheme="minorEastAsia" w:hAnsiTheme="minorEastAsia"/>
                <w:szCs w:val="21"/>
              </w:rPr>
            </w:pPr>
            <w:r>
              <w:rPr>
                <w:rFonts w:hint="eastAsia" w:asciiTheme="minorEastAsia" w:hAnsiTheme="minorEastAsia"/>
                <w:szCs w:val="21"/>
              </w:rPr>
              <w:t>19港兴港投PPN002</w:t>
            </w:r>
          </w:p>
        </w:tc>
        <w:tc>
          <w:tcPr>
            <w:tcW w:w="2175" w:type="dxa"/>
            <w:vAlign w:val="center"/>
          </w:tcPr>
          <w:p>
            <w:pPr>
              <w:jc w:val="center"/>
              <w:rPr>
                <w:rFonts w:hint="eastAsia" w:asciiTheme="minorEastAsia" w:hAnsiTheme="minorEastAsia"/>
                <w:szCs w:val="21"/>
              </w:rPr>
            </w:pPr>
            <w:r>
              <w:rPr>
                <w:rFonts w:hint="eastAsia" w:asciiTheme="minorEastAsia" w:hAnsiTheme="minorEastAsia"/>
                <w:szCs w:val="21"/>
              </w:rPr>
              <w:t>62,935,605.48</w:t>
            </w:r>
          </w:p>
        </w:tc>
        <w:tc>
          <w:tcPr>
            <w:tcW w:w="1695" w:type="dxa"/>
            <w:vAlign w:val="center"/>
          </w:tcPr>
          <w:p>
            <w:pPr>
              <w:jc w:val="center"/>
              <w:rPr>
                <w:rFonts w:hint="eastAsia" w:asciiTheme="minorEastAsia" w:hAnsiTheme="minorEastAsia"/>
                <w:szCs w:val="21"/>
              </w:rPr>
            </w:pPr>
            <w:r>
              <w:rPr>
                <w:rFonts w:hint="eastAsia" w:asciiTheme="minorEastAsia" w:hAnsiTheme="minorEastAsia"/>
                <w:szCs w:val="21"/>
              </w:rPr>
              <w:t>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10</w:t>
            </w:r>
          </w:p>
        </w:tc>
        <w:tc>
          <w:tcPr>
            <w:tcW w:w="3823" w:type="dxa"/>
            <w:vAlign w:val="center"/>
          </w:tcPr>
          <w:p>
            <w:pPr>
              <w:jc w:val="center"/>
              <w:rPr>
                <w:rFonts w:hint="eastAsia" w:asciiTheme="minorEastAsia" w:hAnsiTheme="minorEastAsia"/>
                <w:szCs w:val="21"/>
              </w:rPr>
            </w:pPr>
            <w:r>
              <w:rPr>
                <w:rFonts w:hint="eastAsia" w:asciiTheme="minorEastAsia" w:hAnsiTheme="minorEastAsia"/>
                <w:szCs w:val="21"/>
              </w:rPr>
              <w:t>19九龙园PPN001</w:t>
            </w:r>
          </w:p>
        </w:tc>
        <w:tc>
          <w:tcPr>
            <w:tcW w:w="2175" w:type="dxa"/>
            <w:vAlign w:val="center"/>
          </w:tcPr>
          <w:p>
            <w:pPr>
              <w:jc w:val="center"/>
              <w:rPr>
                <w:rFonts w:hint="eastAsia" w:asciiTheme="minorEastAsia" w:hAnsiTheme="minorEastAsia"/>
                <w:szCs w:val="21"/>
              </w:rPr>
            </w:pPr>
            <w:r>
              <w:rPr>
                <w:rFonts w:hint="eastAsia" w:asciiTheme="minorEastAsia" w:hAnsiTheme="minorEastAsia"/>
                <w:szCs w:val="21"/>
              </w:rPr>
              <w:t>27,372,459.02</w:t>
            </w:r>
          </w:p>
        </w:tc>
        <w:tc>
          <w:tcPr>
            <w:tcW w:w="1695" w:type="dxa"/>
            <w:vAlign w:val="center"/>
          </w:tcPr>
          <w:p>
            <w:pPr>
              <w:jc w:val="center"/>
              <w:rPr>
                <w:rFonts w:hint="eastAsia" w:asciiTheme="minorEastAsia" w:hAnsiTheme="minorEastAsia"/>
                <w:szCs w:val="21"/>
              </w:rPr>
            </w:pPr>
            <w:r>
              <w:rPr>
                <w:rFonts w:hint="eastAsia" w:asciiTheme="minorEastAsia" w:hAnsiTheme="minorEastAsia"/>
                <w:szCs w:val="21"/>
              </w:rPr>
              <w:t>2.69%</w:t>
            </w:r>
          </w:p>
        </w:tc>
      </w:tr>
    </w:tbl>
    <w:p>
      <w:pPr>
        <w:keepNext w:val="0"/>
        <w:keepLines w:val="0"/>
        <w:pageBreakBefore w:val="0"/>
        <w:widowControl w:val="0"/>
        <w:kinsoku/>
        <w:wordWrap/>
        <w:overflowPunct/>
        <w:topLinePunct w:val="0"/>
        <w:autoSpaceDE/>
        <w:autoSpaceDN/>
        <w:bidi w:val="0"/>
        <w:adjustRightInd/>
        <w:snapToGrid/>
        <w:jc w:val="left"/>
        <w:textAlignment w:val="auto"/>
        <w:rPr>
          <w:rFonts w:hint="default" w:asciiTheme="minorEastAsia" w:hAnsiTheme="minorEastAsia" w:eastAsiaTheme="minorEastAsia"/>
          <w:b w:val="0"/>
          <w:bCs/>
          <w:sz w:val="18"/>
          <w:szCs w:val="18"/>
          <w:highlight w:val="none"/>
          <w:lang w:val="en-US" w:eastAsia="zh-CN"/>
        </w:rPr>
      </w:pPr>
      <w:r>
        <w:rPr>
          <w:rFonts w:hint="eastAsia" w:asciiTheme="minorEastAsia" w:hAnsiTheme="minorEastAsia"/>
          <w:b w:val="0"/>
          <w:bCs/>
          <w:sz w:val="18"/>
          <w:szCs w:val="18"/>
          <w:highlight w:val="none"/>
          <w:lang w:val="en-US" w:eastAsia="zh-CN"/>
        </w:rPr>
        <w:t>备注：上述资产金额为该期产品资产市值</w:t>
      </w:r>
    </w:p>
    <w:p>
      <w:pPr>
        <w:rPr>
          <w:rFonts w:hint="eastAsia" w:asciiTheme="minorEastAsia" w:hAnsiTheme="minorEastAsia"/>
          <w:szCs w:val="21"/>
        </w:rPr>
      </w:pPr>
    </w:p>
    <w:bookmarkEnd w:id="0"/>
    <w:p>
      <w:pPr>
        <w:rPr>
          <w:rFonts w:asciiTheme="minorEastAsia" w:hAnsiTheme="minorEastAsia"/>
          <w:szCs w:val="21"/>
        </w:rPr>
      </w:pPr>
      <w:r>
        <w:rPr>
          <w:rFonts w:hint="eastAsia" w:asciiTheme="minorEastAsia" w:hAnsiTheme="minorEastAsia"/>
          <w:szCs w:val="21"/>
        </w:rPr>
        <w:t>四</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lang w:val="en-US" w:eastAsia="zh-CN"/>
        </w:rPr>
        <w:t xml:space="preserve"> </w:t>
      </w:r>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asciiTheme="minorEastAsia" w:hAnsiTheme="minorEastAsia"/>
        </w:rPr>
      </w:pPr>
      <w:r>
        <w:rPr>
          <w:rFonts w:hint="eastAsia" w:asciiTheme="minorEastAsia" w:hAnsiTheme="minorEastAsia"/>
        </w:rPr>
        <w:t>（三） 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ind w:firstLine="420" w:firstLineChars="200"/>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五</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（三）本产品自成立至本报告日，没有发生涉诉等损害投资者利益的情形。</w:t>
      </w:r>
    </w:p>
    <w:p>
      <w:pPr>
        <w:ind w:firstLine="315" w:firstLineChars="150"/>
        <w:rPr>
          <w:rFonts w:asciiTheme="minorEastAsia" w:hAnsiTheme="minorEastAsia"/>
          <w:szCs w:val="21"/>
        </w:rPr>
      </w:pPr>
    </w:p>
    <w:p>
      <w:pPr>
        <w:spacing w:line="480" w:lineRule="exact"/>
        <w:ind w:firstLine="5250" w:firstLineChars="2500"/>
        <w:jc w:val="both"/>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center"/>
      </w:pPr>
      <w:r>
        <w:rPr>
          <w:rFonts w:hint="eastAsia" w:asciiTheme="minorEastAsia" w:hAnsiTheme="minorEastAsia"/>
          <w:szCs w:val="21"/>
          <w:lang w:val="en-US" w:eastAsia="zh-CN"/>
        </w:rPr>
        <w:t xml:space="preserve">                                               </w:t>
      </w:r>
      <w:r>
        <w:rPr>
          <w:rFonts w:asciiTheme="minorEastAsia" w:hAnsiTheme="minorEastAsia"/>
          <w:szCs w:val="21"/>
        </w:rPr>
        <w:t>2020</w:t>
      </w:r>
      <w:r>
        <w:rPr>
          <w:rFonts w:hint="eastAsia" w:asciiTheme="minorEastAsia" w:hAnsiTheme="minorEastAsia"/>
          <w:szCs w:val="21"/>
          <w:lang w:val="en-US" w:eastAsia="zh-CN"/>
        </w:rPr>
        <w:t>年</w:t>
      </w:r>
      <w:r>
        <w:rPr>
          <w:rFonts w:asciiTheme="minorEastAsia" w:hAnsiTheme="minorEastAsia"/>
          <w:szCs w:val="21"/>
        </w:rPr>
        <w:t>7</w:t>
      </w:r>
      <w:r>
        <w:rPr>
          <w:rFonts w:hint="eastAsia" w:asciiTheme="minorEastAsia" w:hAnsiTheme="minorEastAsia"/>
          <w:szCs w:val="21"/>
          <w:lang w:val="en-US" w:eastAsia="zh-CN"/>
        </w:rPr>
        <w:t>月15</w:t>
      </w:r>
      <w:bookmarkStart w:id="1" w:name="_GoBack"/>
      <w:bookmarkEnd w:id="1"/>
      <w:r>
        <w:rPr>
          <w:rFonts w:hint="eastAsia" w:asciiTheme="minorEastAsia" w:hAnsiTheme="minorEastAsia"/>
          <w:szCs w:val="21"/>
          <w:lang w:val="en-US" w:eastAsia="zh-CN"/>
        </w:rPr>
        <w:t>日</w:t>
      </w:r>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586759"/>
    </w:sdtPr>
    <w:sdtContent>
      <w:p>
        <w:pPr>
          <w:pStyle w:val="15"/>
          <w:jc w:val="center"/>
        </w:pPr>
      </w:p>
    </w:sdtContent>
  </w:sdt>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1BB69DA"/>
    <w:rsid w:val="046451CE"/>
    <w:rsid w:val="07DB680E"/>
    <w:rsid w:val="08613963"/>
    <w:rsid w:val="092D14CE"/>
    <w:rsid w:val="09563133"/>
    <w:rsid w:val="0BD02B2A"/>
    <w:rsid w:val="0FC53136"/>
    <w:rsid w:val="109116D6"/>
    <w:rsid w:val="12413345"/>
    <w:rsid w:val="12931977"/>
    <w:rsid w:val="13814A1B"/>
    <w:rsid w:val="13A7532D"/>
    <w:rsid w:val="1441580E"/>
    <w:rsid w:val="145B1C45"/>
    <w:rsid w:val="154F13DA"/>
    <w:rsid w:val="182721AC"/>
    <w:rsid w:val="197D5ABF"/>
    <w:rsid w:val="19A54864"/>
    <w:rsid w:val="1AA317E9"/>
    <w:rsid w:val="1BDE0CAD"/>
    <w:rsid w:val="1C760FBE"/>
    <w:rsid w:val="1D432885"/>
    <w:rsid w:val="1FF23D36"/>
    <w:rsid w:val="207B068F"/>
    <w:rsid w:val="21ED676D"/>
    <w:rsid w:val="2350060C"/>
    <w:rsid w:val="25E358EE"/>
    <w:rsid w:val="26FD1903"/>
    <w:rsid w:val="27BD45FF"/>
    <w:rsid w:val="28B25A85"/>
    <w:rsid w:val="29DA3D49"/>
    <w:rsid w:val="2A0F4201"/>
    <w:rsid w:val="2AE34A38"/>
    <w:rsid w:val="2AEB1E5A"/>
    <w:rsid w:val="2FF34915"/>
    <w:rsid w:val="328522BE"/>
    <w:rsid w:val="331E4C1A"/>
    <w:rsid w:val="335601C3"/>
    <w:rsid w:val="33F54821"/>
    <w:rsid w:val="35DB54D6"/>
    <w:rsid w:val="364C21E7"/>
    <w:rsid w:val="37B114AF"/>
    <w:rsid w:val="39BA6599"/>
    <w:rsid w:val="3E2835B7"/>
    <w:rsid w:val="3EBE3EFC"/>
    <w:rsid w:val="422B2661"/>
    <w:rsid w:val="42982300"/>
    <w:rsid w:val="43250476"/>
    <w:rsid w:val="472D2614"/>
    <w:rsid w:val="49343EE8"/>
    <w:rsid w:val="4B1E5A56"/>
    <w:rsid w:val="4E125A3E"/>
    <w:rsid w:val="4E6C5390"/>
    <w:rsid w:val="4F05414C"/>
    <w:rsid w:val="50705A87"/>
    <w:rsid w:val="510719A1"/>
    <w:rsid w:val="51EC6135"/>
    <w:rsid w:val="530043D2"/>
    <w:rsid w:val="56B45862"/>
    <w:rsid w:val="572F2943"/>
    <w:rsid w:val="57D83C46"/>
    <w:rsid w:val="586214C2"/>
    <w:rsid w:val="5A622306"/>
    <w:rsid w:val="5AB01723"/>
    <w:rsid w:val="5B830CA8"/>
    <w:rsid w:val="5D5E2859"/>
    <w:rsid w:val="5D8B4F22"/>
    <w:rsid w:val="5FD9606F"/>
    <w:rsid w:val="621F0476"/>
    <w:rsid w:val="63633C79"/>
    <w:rsid w:val="63D37DC1"/>
    <w:rsid w:val="671D7CC1"/>
    <w:rsid w:val="687C70C4"/>
    <w:rsid w:val="69074462"/>
    <w:rsid w:val="6918093F"/>
    <w:rsid w:val="6C9B0C01"/>
    <w:rsid w:val="6E546A74"/>
    <w:rsid w:val="6FA67F07"/>
    <w:rsid w:val="72972EFC"/>
    <w:rsid w:val="75736568"/>
    <w:rsid w:val="773E6275"/>
    <w:rsid w:val="788C0951"/>
    <w:rsid w:val="79882DEC"/>
    <w:rsid w:val="79FE5971"/>
    <w:rsid w:val="7BA6096B"/>
    <w:rsid w:val="7E881CD4"/>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19">
    <w:name w:val="Default Paragraph Font"/>
    <w:unhideWhenUsed/>
    <w:qFormat/>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39"/>
    <w:unhideWhenUsed/>
    <w:qFormat/>
    <w:uiPriority w:val="99"/>
    <w:rPr>
      <w:b/>
      <w:bCs/>
    </w:rPr>
  </w:style>
  <w:style w:type="paragraph" w:styleId="12">
    <w:name w:val="annotation text"/>
    <w:basedOn w:val="1"/>
    <w:link w:val="38"/>
    <w:unhideWhenUsed/>
    <w:qFormat/>
    <w:uiPriority w:val="99"/>
    <w:pPr>
      <w:jc w:val="left"/>
    </w:pPr>
  </w:style>
  <w:style w:type="paragraph" w:styleId="13">
    <w:name w:val="toc 3"/>
    <w:basedOn w:val="1"/>
    <w:next w:val="1"/>
    <w:unhideWhenUsed/>
    <w:qFormat/>
    <w:uiPriority w:val="39"/>
    <w:pPr>
      <w:ind w:left="840" w:leftChars="400"/>
    </w:pPr>
  </w:style>
  <w:style w:type="paragraph" w:styleId="14">
    <w:name w:val="Balloon Text"/>
    <w:basedOn w:val="1"/>
    <w:link w:val="37"/>
    <w:unhideWhenUsed/>
    <w:qFormat/>
    <w:uiPriority w:val="99"/>
    <w:rPr>
      <w:sz w:val="18"/>
      <w:szCs w:val="18"/>
    </w:rPr>
  </w:style>
  <w:style w:type="paragraph" w:styleId="15">
    <w:name w:val="footer"/>
    <w:basedOn w:val="1"/>
    <w:link w:val="34"/>
    <w:unhideWhenUsed/>
    <w:qFormat/>
    <w:uiPriority w:val="99"/>
    <w:pPr>
      <w:tabs>
        <w:tab w:val="center" w:pos="4153"/>
        <w:tab w:val="right" w:pos="8306"/>
      </w:tabs>
      <w:snapToGrid w:val="0"/>
      <w:jc w:val="left"/>
    </w:pPr>
    <w:rPr>
      <w:sz w:val="18"/>
      <w:szCs w:val="18"/>
    </w:rPr>
  </w:style>
  <w:style w:type="paragraph" w:styleId="16">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ind w:left="420" w:leftChars="200"/>
    </w:pPr>
  </w:style>
  <w:style w:type="character" w:styleId="20">
    <w:name w:val="Hyperlink"/>
    <w:basedOn w:val="19"/>
    <w:unhideWhenUsed/>
    <w:qFormat/>
    <w:uiPriority w:val="99"/>
    <w:rPr>
      <w:color w:val="0563C1" w:themeColor="hyperlink"/>
      <w:u w:val="single"/>
      <w14:textFill>
        <w14:solidFill>
          <w14:schemeClr w14:val="hlink"/>
        </w14:solidFill>
      </w14:textFill>
    </w:rPr>
  </w:style>
  <w:style w:type="character" w:styleId="21">
    <w:name w:val="annotation reference"/>
    <w:basedOn w:val="19"/>
    <w:unhideWhenUsed/>
    <w:qFormat/>
    <w:uiPriority w:val="99"/>
    <w:rPr>
      <w:sz w:val="21"/>
      <w:szCs w:val="21"/>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4">
    <w:name w:val="标题 1 Char"/>
    <w:basedOn w:val="19"/>
    <w:link w:val="2"/>
    <w:qFormat/>
    <w:uiPriority w:val="9"/>
    <w:rPr>
      <w:b/>
      <w:bCs/>
      <w:kern w:val="44"/>
      <w:sz w:val="28"/>
      <w:szCs w:val="44"/>
    </w:rPr>
  </w:style>
  <w:style w:type="character" w:customStyle="1" w:styleId="25">
    <w:name w:val="标题 2 Char"/>
    <w:basedOn w:val="19"/>
    <w:link w:val="3"/>
    <w:qFormat/>
    <w:uiPriority w:val="9"/>
    <w:rPr>
      <w:rFonts w:asciiTheme="majorHAnsi" w:hAnsiTheme="majorHAnsi" w:eastAsiaTheme="majorEastAsia" w:cstheme="majorBidi"/>
      <w:b/>
      <w:bCs/>
      <w:sz w:val="28"/>
      <w:szCs w:val="32"/>
    </w:rPr>
  </w:style>
  <w:style w:type="character" w:customStyle="1" w:styleId="26">
    <w:name w:val="标题 3 Char"/>
    <w:basedOn w:val="19"/>
    <w:link w:val="4"/>
    <w:qFormat/>
    <w:uiPriority w:val="9"/>
    <w:rPr>
      <w:b/>
      <w:bCs/>
      <w:sz w:val="24"/>
      <w:szCs w:val="32"/>
    </w:rPr>
  </w:style>
  <w:style w:type="character" w:customStyle="1" w:styleId="27">
    <w:name w:val="标题 4 Char"/>
    <w:basedOn w:val="19"/>
    <w:link w:val="5"/>
    <w:qFormat/>
    <w:uiPriority w:val="9"/>
    <w:rPr>
      <w:rFonts w:asciiTheme="majorHAnsi" w:hAnsiTheme="majorHAnsi" w:eastAsiaTheme="majorEastAsia" w:cstheme="majorBidi"/>
      <w:b/>
      <w:bCs/>
      <w:sz w:val="24"/>
      <w:szCs w:val="28"/>
    </w:rPr>
  </w:style>
  <w:style w:type="character" w:customStyle="1" w:styleId="28">
    <w:name w:val="标题 5 Char"/>
    <w:basedOn w:val="19"/>
    <w:link w:val="6"/>
    <w:semiHidden/>
    <w:qFormat/>
    <w:uiPriority w:val="9"/>
    <w:rPr>
      <w:b/>
      <w:bCs/>
      <w:sz w:val="28"/>
      <w:szCs w:val="28"/>
    </w:rPr>
  </w:style>
  <w:style w:type="character" w:customStyle="1" w:styleId="29">
    <w:name w:val="标题 6 Char"/>
    <w:basedOn w:val="19"/>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19"/>
    <w:link w:val="8"/>
    <w:semiHidden/>
    <w:qFormat/>
    <w:uiPriority w:val="9"/>
    <w:rPr>
      <w:b/>
      <w:bCs/>
      <w:sz w:val="24"/>
      <w:szCs w:val="24"/>
    </w:rPr>
  </w:style>
  <w:style w:type="character" w:customStyle="1" w:styleId="31">
    <w:name w:val="标题 8 Char"/>
    <w:basedOn w:val="19"/>
    <w:link w:val="9"/>
    <w:semiHidden/>
    <w:qFormat/>
    <w:uiPriority w:val="9"/>
    <w:rPr>
      <w:rFonts w:asciiTheme="majorHAnsi" w:hAnsiTheme="majorHAnsi" w:eastAsiaTheme="majorEastAsia" w:cstheme="majorBidi"/>
      <w:sz w:val="24"/>
      <w:szCs w:val="24"/>
    </w:rPr>
  </w:style>
  <w:style w:type="character" w:customStyle="1" w:styleId="32">
    <w:name w:val="标题 9 Char"/>
    <w:basedOn w:val="19"/>
    <w:link w:val="10"/>
    <w:semiHidden/>
    <w:qFormat/>
    <w:uiPriority w:val="9"/>
    <w:rPr>
      <w:rFonts w:asciiTheme="majorHAnsi" w:hAnsiTheme="majorHAnsi" w:eastAsiaTheme="majorEastAsia" w:cstheme="majorBidi"/>
      <w:szCs w:val="21"/>
    </w:rPr>
  </w:style>
  <w:style w:type="character" w:customStyle="1" w:styleId="33">
    <w:name w:val="页眉 Char"/>
    <w:basedOn w:val="19"/>
    <w:link w:val="16"/>
    <w:qFormat/>
    <w:uiPriority w:val="99"/>
    <w:rPr>
      <w:sz w:val="18"/>
      <w:szCs w:val="18"/>
    </w:rPr>
  </w:style>
  <w:style w:type="character" w:customStyle="1" w:styleId="34">
    <w:name w:val="页脚 Char"/>
    <w:basedOn w:val="19"/>
    <w:link w:val="15"/>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19"/>
    <w:link w:val="14"/>
    <w:semiHidden/>
    <w:qFormat/>
    <w:uiPriority w:val="99"/>
    <w:rPr>
      <w:sz w:val="18"/>
      <w:szCs w:val="18"/>
    </w:rPr>
  </w:style>
  <w:style w:type="character" w:customStyle="1" w:styleId="38">
    <w:name w:val="批注文字 Char"/>
    <w:basedOn w:val="19"/>
    <w:link w:val="12"/>
    <w:qFormat/>
    <w:uiPriority w:val="99"/>
    <w:rPr>
      <w:kern w:val="2"/>
      <w:sz w:val="21"/>
      <w:szCs w:val="22"/>
    </w:rPr>
  </w:style>
  <w:style w:type="character" w:customStyle="1" w:styleId="39">
    <w:name w:val="批注主题 Char"/>
    <w:basedOn w:val="38"/>
    <w:link w:val="11"/>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Words>
  <Characters>563</Characters>
  <Lines>4</Lines>
  <Paragraphs>1</Paragraphs>
  <TotalTime>11</TotalTime>
  <ScaleCrop>false</ScaleCrop>
  <LinksUpToDate>false</LinksUpToDate>
  <CharactersWithSpaces>660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ll</cp:lastModifiedBy>
  <cp:lastPrinted>2020-07-08T09:26:00Z</cp:lastPrinted>
  <dcterms:modified xsi:type="dcterms:W3CDTF">2020-07-21T02:59:09Z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