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重庆农村商业银行江渝财富“天添金”2020年第19期公募封闭式净值型投资管理报告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w:t>
            </w:r>
            <w:r>
              <w:rPr>
                <w:rFonts w:hint="eastAsia" w:asciiTheme="minorEastAsia" w:hAnsiTheme="minorEastAsia"/>
                <w:szCs w:val="21"/>
                <w:lang w:val="en-US" w:eastAsia="zh-CN"/>
              </w:rPr>
              <w:t>.00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2020-10-27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1,011,891,279.65</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1.0118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1.0118</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69"/>
        <w:gridCol w:w="247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rPr>
                <w:rFonts w:asciiTheme="minorEastAsia" w:hAnsiTheme="minorEastAsia"/>
                <w:szCs w:val="21"/>
              </w:rPr>
              <w:t>序号</w:t>
            </w:r>
          </w:p>
        </w:tc>
        <w:tc>
          <w:tcPr>
            <w:tcW w:w="3569"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2475" w:type="dxa"/>
            <w:vAlign w:val="top"/>
          </w:tcPr>
          <w:p>
            <w:pPr>
              <w:jc w:val="center"/>
              <w:rPr>
                <w:rFonts w:asciiTheme="minorEastAsia" w:hAnsiTheme="minorEastAsia"/>
                <w:szCs w:val="21"/>
              </w:rPr>
            </w:pPr>
            <w:r>
              <w:rPr>
                <w:rFonts w:asciiTheme="minorEastAsia" w:hAnsiTheme="minorEastAsia"/>
                <w:szCs w:val="21"/>
              </w:rPr>
              <w:t>金额</w:t>
            </w:r>
          </w:p>
        </w:tc>
        <w:tc>
          <w:tcPr>
            <w:tcW w:w="1545" w:type="dxa"/>
            <w:vAlign w:val="top"/>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1</w:t>
            </w:r>
          </w:p>
        </w:tc>
        <w:tc>
          <w:tcPr>
            <w:tcW w:w="3569"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债券</w:t>
            </w:r>
          </w:p>
        </w:tc>
        <w:tc>
          <w:tcPr>
            <w:tcW w:w="247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911,217,684.65 </w:t>
            </w:r>
          </w:p>
        </w:tc>
        <w:tc>
          <w:tcPr>
            <w:tcW w:w="154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89.75%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2</w:t>
            </w:r>
          </w:p>
        </w:tc>
        <w:tc>
          <w:tcPr>
            <w:tcW w:w="3569" w:type="dxa"/>
            <w:vAlign w:val="top"/>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同业往来资产</w:t>
            </w:r>
          </w:p>
        </w:tc>
        <w:tc>
          <w:tcPr>
            <w:tcW w:w="247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104,100,716.68 </w:t>
            </w:r>
          </w:p>
        </w:tc>
        <w:tc>
          <w:tcPr>
            <w:tcW w:w="154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eastAsiaTheme="minorEastAsia"/>
                <w:szCs w:val="21"/>
                <w:lang w:val="en-US" w:eastAsia="zh-CN"/>
              </w:rPr>
            </w:pPr>
            <w:r>
              <w:rPr>
                <w:rFonts w:hint="eastAsia"/>
                <w:lang w:val="en-US" w:eastAsia="zh-CN"/>
              </w:rPr>
              <w:t>3</w:t>
            </w:r>
          </w:p>
        </w:tc>
        <w:tc>
          <w:tcPr>
            <w:tcW w:w="3569" w:type="dxa"/>
            <w:vAlign w:val="top"/>
          </w:tcPr>
          <w:p>
            <w:pPr>
              <w:jc w:val="center"/>
              <w:rPr>
                <w:rFonts w:asciiTheme="minorEastAsia" w:hAnsiTheme="minorEastAsia"/>
                <w:szCs w:val="21"/>
              </w:rPr>
            </w:pPr>
            <w:r>
              <w:t>合计</w:t>
            </w:r>
          </w:p>
        </w:tc>
        <w:tc>
          <w:tcPr>
            <w:tcW w:w="247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1,015,318,401.33</w:t>
            </w:r>
          </w:p>
        </w:tc>
        <w:tc>
          <w:tcPr>
            <w:tcW w:w="154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835" w:type="dxa"/>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 xml:space="preserve">项目 </w:t>
            </w:r>
          </w:p>
        </w:tc>
        <w:tc>
          <w:tcPr>
            <w:tcW w:w="1843"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91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color w:val="auto"/>
          <w:u w:val="none"/>
        </w:rPr>
        <w:t>截至</w:t>
      </w:r>
      <w:r>
        <w:rPr>
          <w:color w:val="auto"/>
          <w:u w:val="none"/>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88"/>
        <w:gridCol w:w="235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368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永赢金融租赁有限公司</w:t>
            </w:r>
            <w:r>
              <w:rPr>
                <w:rFonts w:hint="eastAsia" w:asciiTheme="minorEastAsia" w:hAnsiTheme="minorEastAsia"/>
                <w:szCs w:val="21"/>
                <w:lang w:val="en-US" w:eastAsia="zh-CN"/>
              </w:rPr>
              <w:t>同业借款</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100,064,444.44</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18宜昌绿色债NPB</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97,127,358.81</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20渝万盛投资ZR002</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91,678,684.93</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20铜梁01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91,565,260.27</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20赣州开投MTN001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91,244,465.75</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19渝豪江PPN001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90,938,958.90</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7</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18富邦华一二级01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88,641,116.39</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8</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17德阳经开PPN001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76,273,339.10</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9</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18潍坊银行二级01</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62,860,819.67</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10</w:t>
            </w:r>
          </w:p>
        </w:tc>
        <w:tc>
          <w:tcPr>
            <w:tcW w:w="3688" w:type="dxa"/>
            <w:vAlign w:val="center"/>
          </w:tcPr>
          <w:p>
            <w:pPr>
              <w:jc w:val="center"/>
              <w:rPr>
                <w:rFonts w:hint="eastAsia" w:asciiTheme="minorEastAsia" w:hAnsiTheme="minorEastAsia"/>
                <w:szCs w:val="21"/>
              </w:rPr>
            </w:pPr>
            <w:r>
              <w:rPr>
                <w:rFonts w:hint="eastAsia" w:asciiTheme="minorEastAsia" w:hAnsiTheme="minorEastAsia"/>
                <w:szCs w:val="21"/>
              </w:rPr>
              <w:t>19南京新港PPN002</w:t>
            </w:r>
          </w:p>
        </w:tc>
        <w:tc>
          <w:tcPr>
            <w:tcW w:w="2355" w:type="dxa"/>
            <w:vAlign w:val="center"/>
          </w:tcPr>
          <w:p>
            <w:pPr>
              <w:jc w:val="center"/>
              <w:rPr>
                <w:rFonts w:hint="eastAsia" w:asciiTheme="minorEastAsia" w:hAnsiTheme="minorEastAsia"/>
                <w:szCs w:val="21"/>
              </w:rPr>
            </w:pPr>
            <w:r>
              <w:rPr>
                <w:rFonts w:hint="eastAsia" w:asciiTheme="minorEastAsia" w:hAnsiTheme="minorEastAsia"/>
                <w:szCs w:val="21"/>
              </w:rPr>
              <w:t>57,890,261.92</w:t>
            </w:r>
          </w:p>
        </w:tc>
        <w:tc>
          <w:tcPr>
            <w:tcW w:w="1680" w:type="dxa"/>
            <w:vAlign w:val="center"/>
          </w:tcPr>
          <w:p>
            <w:pPr>
              <w:jc w:val="center"/>
              <w:rPr>
                <w:rFonts w:hint="eastAsia" w:asciiTheme="minorEastAsia" w:hAnsiTheme="minorEastAsia"/>
                <w:szCs w:val="21"/>
              </w:rPr>
            </w:pPr>
            <w:r>
              <w:rPr>
                <w:rFonts w:hint="eastAsia" w:asciiTheme="minorEastAsia" w:hAnsiTheme="minorEastAsia"/>
                <w:szCs w:val="21"/>
              </w:rPr>
              <w:t>5.70%</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6090" w:firstLineChars="2900"/>
        <w:jc w:val="both"/>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bookmarkStart w:id="1" w:name="_GoBack"/>
      <w:bookmarkEnd w:id="1"/>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1E6A79"/>
    <w:rsid w:val="092D14CE"/>
    <w:rsid w:val="09563133"/>
    <w:rsid w:val="0BD02B2A"/>
    <w:rsid w:val="0DB156C5"/>
    <w:rsid w:val="0FC53136"/>
    <w:rsid w:val="109116D6"/>
    <w:rsid w:val="12413345"/>
    <w:rsid w:val="12931977"/>
    <w:rsid w:val="13814A1B"/>
    <w:rsid w:val="1441580E"/>
    <w:rsid w:val="145B1C45"/>
    <w:rsid w:val="154F13DA"/>
    <w:rsid w:val="16AB78A2"/>
    <w:rsid w:val="182721AC"/>
    <w:rsid w:val="197D5ABF"/>
    <w:rsid w:val="19A54864"/>
    <w:rsid w:val="1BDE0CAD"/>
    <w:rsid w:val="1C760FBE"/>
    <w:rsid w:val="1FF23D36"/>
    <w:rsid w:val="21ED676D"/>
    <w:rsid w:val="2350060C"/>
    <w:rsid w:val="25E358EE"/>
    <w:rsid w:val="26FD1903"/>
    <w:rsid w:val="27BD45FF"/>
    <w:rsid w:val="29DA3D49"/>
    <w:rsid w:val="2A0F4201"/>
    <w:rsid w:val="2AEB1E5A"/>
    <w:rsid w:val="2FF34915"/>
    <w:rsid w:val="328522BE"/>
    <w:rsid w:val="331E4C1A"/>
    <w:rsid w:val="335601C3"/>
    <w:rsid w:val="33F54821"/>
    <w:rsid w:val="353316D5"/>
    <w:rsid w:val="35DB54D6"/>
    <w:rsid w:val="37B114AF"/>
    <w:rsid w:val="39BA6599"/>
    <w:rsid w:val="3E2835B7"/>
    <w:rsid w:val="3EBE3EFC"/>
    <w:rsid w:val="422B2661"/>
    <w:rsid w:val="42982300"/>
    <w:rsid w:val="43250476"/>
    <w:rsid w:val="445D49B9"/>
    <w:rsid w:val="468B1783"/>
    <w:rsid w:val="472D2614"/>
    <w:rsid w:val="47EB05E9"/>
    <w:rsid w:val="49343EE8"/>
    <w:rsid w:val="4B1E5A56"/>
    <w:rsid w:val="4E6C5390"/>
    <w:rsid w:val="4F05414C"/>
    <w:rsid w:val="501A0388"/>
    <w:rsid w:val="51EC6135"/>
    <w:rsid w:val="55E72F2B"/>
    <w:rsid w:val="572F2943"/>
    <w:rsid w:val="57362FE9"/>
    <w:rsid w:val="57D83C46"/>
    <w:rsid w:val="586214C2"/>
    <w:rsid w:val="5A322CDD"/>
    <w:rsid w:val="5A622306"/>
    <w:rsid w:val="5AB01723"/>
    <w:rsid w:val="5D5E2859"/>
    <w:rsid w:val="5D8B4F22"/>
    <w:rsid w:val="621F0476"/>
    <w:rsid w:val="63D37DC1"/>
    <w:rsid w:val="641175AB"/>
    <w:rsid w:val="671D7CC1"/>
    <w:rsid w:val="687C70C4"/>
    <w:rsid w:val="69074462"/>
    <w:rsid w:val="6B0541BE"/>
    <w:rsid w:val="6C9B0C01"/>
    <w:rsid w:val="6E546A74"/>
    <w:rsid w:val="6E7301D7"/>
    <w:rsid w:val="6FA67F07"/>
    <w:rsid w:val="75736568"/>
    <w:rsid w:val="773E6275"/>
    <w:rsid w:val="788C0951"/>
    <w:rsid w:val="79882DEC"/>
    <w:rsid w:val="79FE5971"/>
    <w:rsid w:val="7A8F58EE"/>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5</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2020-07-08T09:27:00Z</cp:lastPrinted>
  <dcterms:modified xsi:type="dcterms:W3CDTF">2020-07-21T03:02:55Z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