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重庆农村商业银行江渝财富“天添金”2020年第20期</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公募封闭式净值型投资管理报告</w:t>
      </w:r>
    </w:p>
    <w:p>
      <w:pPr>
        <w:jc w:val="cente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江渝财富“天添金”2020年第20期公募封闭式净值型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12020020GFJ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C1126720000040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asciiTheme="minorEastAsia" w:hAnsiTheme="minorEastAsia"/>
                <w:szCs w:val="21"/>
              </w:rPr>
            </w:pPr>
            <w:r>
              <w:rPr>
                <w:rFonts w:hint="eastAsia" w:asciiTheme="minorEastAsia" w:hAnsiTheme="minorEastAsia"/>
                <w:szCs w:val="21"/>
              </w:rPr>
              <w:t>非保本浮动收益型</w:t>
            </w:r>
            <w:r>
              <w:rPr>
                <w:color w:val="auto"/>
                <w:u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asciiTheme="minorEastAsia" w:hAnsiTheme="minorEastAsia"/>
                <w:szCs w:val="21"/>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1,000,000,000.00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asciiTheme="minorEastAsia" w:hAnsiTheme="minorEastAsia"/>
                <w:szCs w:val="21"/>
              </w:rPr>
            </w:pPr>
            <w:r>
              <w:rPr>
                <w:rFonts w:hint="eastAsia" w:asciiTheme="minorEastAsia" w:hAnsiTheme="minorEastAsia"/>
                <w:szCs w:val="21"/>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asciiTheme="minorEastAsia" w:hAnsiTheme="minorEastAsia"/>
                <w:szCs w:val="21"/>
              </w:rPr>
            </w:pPr>
            <w:r>
              <w:rPr>
                <w:rFonts w:hint="eastAsia" w:asciiTheme="minorEastAsia" w:hAnsiTheme="minorEastAsia"/>
                <w:szCs w:val="21"/>
              </w:rPr>
              <w:t>2020-03-27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asciiTheme="minorEastAsia" w:hAnsiTheme="minorEastAsia"/>
                <w:szCs w:val="21"/>
              </w:rPr>
            </w:pPr>
            <w:r>
              <w:rPr>
                <w:rFonts w:hint="eastAsia" w:asciiTheme="minorEastAsia" w:hAnsiTheme="minorEastAsia"/>
                <w:szCs w:val="21"/>
              </w:rPr>
              <w:t>2021-01-26</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asciiTheme="minorEastAsia" w:hAnsiTheme="minorEastAsia"/>
                <w:szCs w:val="21"/>
              </w:rPr>
            </w:pPr>
            <w:r>
              <w:rPr>
                <w:rFonts w:hint="eastAsia" w:asciiTheme="minorEastAsia" w:hAnsiTheme="minorEastAsia"/>
                <w:szCs w:val="21"/>
              </w:rPr>
              <w:t>346010100101567204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1,009,753,236.59</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asciiTheme="minorEastAsia" w:hAnsiTheme="minorEastAsia"/>
                <w:szCs w:val="21"/>
              </w:rPr>
            </w:pPr>
            <w:r>
              <w:rPr>
                <w:rFonts w:hint="eastAsia" w:asciiTheme="minorEastAsia" w:hAnsiTheme="minorEastAsia"/>
                <w:szCs w:val="21"/>
              </w:rPr>
              <w:t>1.0097</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1.0097</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3"/>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584"/>
        <w:gridCol w:w="2685"/>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rPr>
                <w:rFonts w:asciiTheme="minorEastAsia" w:hAnsiTheme="minorEastAsia"/>
                <w:szCs w:val="21"/>
              </w:rPr>
              <w:t>序号</w:t>
            </w:r>
          </w:p>
        </w:tc>
        <w:tc>
          <w:tcPr>
            <w:tcW w:w="3584" w:type="dxa"/>
            <w:vAlign w:val="center"/>
          </w:tcPr>
          <w:p>
            <w:pPr>
              <w:jc w:val="center"/>
              <w:rPr>
                <w:rFonts w:hint="eastAsia" w:asciiTheme="minorEastAsia" w:hAnsiTheme="minorEastAsia"/>
                <w:szCs w:val="21"/>
                <w:lang w:eastAsia="zh-CN"/>
              </w:rPr>
            </w:pPr>
            <w:r>
              <w:rPr>
                <w:rFonts w:hint="eastAsia" w:asciiTheme="minorEastAsia" w:hAnsiTheme="minorEastAsia"/>
                <w:szCs w:val="21"/>
                <w:lang w:val="en-US" w:eastAsia="zh-CN"/>
              </w:rPr>
              <w:t>项目</w:t>
            </w:r>
          </w:p>
        </w:tc>
        <w:tc>
          <w:tcPr>
            <w:tcW w:w="2685"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1343"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1</w:t>
            </w:r>
          </w:p>
        </w:tc>
        <w:tc>
          <w:tcPr>
            <w:tcW w:w="3584" w:type="dxa"/>
            <w:vAlign w:val="center"/>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债券</w:t>
            </w:r>
          </w:p>
        </w:tc>
        <w:tc>
          <w:tcPr>
            <w:tcW w:w="268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604,248,446.64</w:t>
            </w:r>
          </w:p>
        </w:tc>
        <w:tc>
          <w:tcPr>
            <w:tcW w:w="1343" w:type="dxa"/>
            <w:vAlign w:val="center"/>
          </w:tcPr>
          <w:p>
            <w:pPr>
              <w:jc w:val="center"/>
              <w:rPr>
                <w:rFonts w:hint="eastAsia" w:asciiTheme="minorEastAsia" w:hAnsiTheme="minorEastAsia"/>
                <w:szCs w:val="21"/>
              </w:rPr>
            </w:pPr>
            <w:r>
              <w:rPr>
                <w:rFonts w:hint="eastAsia" w:asciiTheme="minorEastAsia" w:hAnsiTheme="minorEastAsia"/>
                <w:szCs w:val="21"/>
              </w:rPr>
              <w:t>5</w:t>
            </w:r>
            <w:r>
              <w:rPr>
                <w:rFonts w:hint="eastAsia" w:asciiTheme="minorEastAsia" w:hAnsiTheme="minorEastAsia"/>
                <w:szCs w:val="21"/>
                <w:lang w:val="en-US" w:eastAsia="zh-CN"/>
              </w:rPr>
              <w:t>9.70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asciiTheme="minorEastAsia" w:hAnsiTheme="minorEastAsia"/>
                <w:szCs w:val="21"/>
              </w:rPr>
            </w:pPr>
            <w:r>
              <w:t>2</w:t>
            </w:r>
          </w:p>
        </w:tc>
        <w:tc>
          <w:tcPr>
            <w:tcW w:w="3584" w:type="dxa"/>
            <w:vAlign w:val="center"/>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同业往来资产</w:t>
            </w:r>
          </w:p>
        </w:tc>
        <w:tc>
          <w:tcPr>
            <w:tcW w:w="2685"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407,812,428.21</w:t>
            </w:r>
          </w:p>
        </w:tc>
        <w:tc>
          <w:tcPr>
            <w:tcW w:w="1343" w:type="dxa"/>
            <w:vAlign w:val="center"/>
          </w:tcPr>
          <w:p>
            <w:pPr>
              <w:jc w:val="center"/>
              <w:rPr>
                <w:rFonts w:hint="eastAsia" w:asciiTheme="minorEastAsia" w:hAnsiTheme="minorEastAsia"/>
                <w:szCs w:val="21"/>
              </w:rPr>
            </w:pPr>
            <w:r>
              <w:rPr>
                <w:rFonts w:hint="eastAsia" w:asciiTheme="minorEastAsia" w:hAnsiTheme="minorEastAsia"/>
                <w:szCs w:val="21"/>
              </w:rPr>
              <w:t>4</w:t>
            </w:r>
            <w:r>
              <w:rPr>
                <w:rFonts w:hint="eastAsia" w:asciiTheme="minorEastAsia" w:hAnsiTheme="minorEastAsia"/>
                <w:szCs w:val="21"/>
                <w:lang w:val="en-US" w:eastAsia="zh-CN"/>
              </w:rPr>
              <w:t>0.30</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eastAsiaTheme="minorEastAsia"/>
                <w:szCs w:val="21"/>
                <w:lang w:val="en-US" w:eastAsia="zh-CN"/>
              </w:rPr>
            </w:pPr>
            <w:r>
              <w:rPr>
                <w:rFonts w:hint="eastAsia"/>
                <w:lang w:val="en-US" w:eastAsia="zh-CN"/>
              </w:rPr>
              <w:t>3</w:t>
            </w:r>
          </w:p>
        </w:tc>
        <w:tc>
          <w:tcPr>
            <w:tcW w:w="3584" w:type="dxa"/>
            <w:vAlign w:val="center"/>
          </w:tcPr>
          <w:p>
            <w:pPr>
              <w:jc w:val="center"/>
              <w:rPr>
                <w:rFonts w:hint="eastAsia" w:asciiTheme="minorEastAsia" w:hAnsiTheme="minorEastAsia"/>
                <w:szCs w:val="21"/>
              </w:rPr>
            </w:pPr>
            <w:r>
              <w:rPr>
                <w:rFonts w:hint="eastAsia" w:asciiTheme="minorEastAsia" w:hAnsiTheme="minorEastAsia"/>
                <w:szCs w:val="21"/>
              </w:rPr>
              <w:t>合计</w:t>
            </w:r>
          </w:p>
        </w:tc>
        <w:tc>
          <w:tcPr>
            <w:tcW w:w="2685" w:type="dxa"/>
            <w:vAlign w:val="center"/>
          </w:tcPr>
          <w:p>
            <w:pPr>
              <w:jc w:val="center"/>
              <w:rPr>
                <w:rFonts w:hint="eastAsia" w:asciiTheme="minorEastAsia" w:hAnsiTheme="minorEastAsia"/>
                <w:szCs w:val="21"/>
              </w:rPr>
            </w:pPr>
            <w:r>
              <w:rPr>
                <w:rFonts w:hint="eastAsia" w:asciiTheme="minorEastAsia" w:hAnsiTheme="minorEastAsia"/>
                <w:szCs w:val="21"/>
              </w:rPr>
              <w:t>1,012,060,874.85</w:t>
            </w:r>
          </w:p>
        </w:tc>
        <w:tc>
          <w:tcPr>
            <w:tcW w:w="1343" w:type="dxa"/>
            <w:vAlign w:val="center"/>
          </w:tcPr>
          <w:p>
            <w:pPr>
              <w:jc w:val="center"/>
              <w:rPr>
                <w:rFonts w:hint="eastAsia" w:asciiTheme="minorEastAsia" w:hAnsiTheme="minorEastAsia"/>
                <w:szCs w:val="21"/>
              </w:rPr>
            </w:pPr>
            <w:r>
              <w:rPr>
                <w:rFonts w:hint="eastAsia" w:asciiTheme="minorEastAsia" w:hAnsiTheme="minorEastAsia"/>
                <w:szCs w:val="21"/>
              </w:rPr>
              <w:t>100.00%</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1843"/>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tcPr>
          <w:p>
            <w:pPr>
              <w:jc w:val="center"/>
              <w:rPr>
                <w:rFonts w:asciiTheme="minorEastAsia" w:hAnsiTheme="minorEastAsia"/>
                <w:szCs w:val="21"/>
              </w:rPr>
            </w:pPr>
            <w:r>
              <w:rPr>
                <w:rFonts w:asciiTheme="minorEastAsia" w:hAnsiTheme="minorEastAsia"/>
                <w:szCs w:val="21"/>
              </w:rPr>
              <w:t>序号</w:t>
            </w:r>
          </w:p>
        </w:tc>
        <w:tc>
          <w:tcPr>
            <w:tcW w:w="2835" w:type="dxa"/>
          </w:tcPr>
          <w:p>
            <w:pPr>
              <w:ind w:right="800"/>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 xml:space="preserve">        项目</w:t>
            </w:r>
          </w:p>
        </w:tc>
        <w:tc>
          <w:tcPr>
            <w:tcW w:w="1843" w:type="dxa"/>
          </w:tcPr>
          <w:p>
            <w:pPr>
              <w:jc w:val="center"/>
              <w:rPr>
                <w:rFonts w:asciiTheme="minorEastAsia" w:hAnsiTheme="minorEastAsia"/>
                <w:szCs w:val="21"/>
              </w:rPr>
            </w:pPr>
            <w:r>
              <w:rPr>
                <w:rFonts w:asciiTheme="minorEastAsia" w:hAnsiTheme="minorEastAsia"/>
                <w:szCs w:val="21"/>
              </w:rPr>
              <w:t>金额</w:t>
            </w:r>
          </w:p>
        </w:tc>
        <w:tc>
          <w:tcPr>
            <w:tcW w:w="2914" w:type="dxa"/>
          </w:tcPr>
          <w:p>
            <w:pPr>
              <w:jc w:val="center"/>
              <w:rPr>
                <w:rFonts w:asciiTheme="minorEastAsia" w:hAnsiTheme="minorEastAsia"/>
                <w:szCs w:val="21"/>
              </w:rPr>
            </w:pPr>
            <w:r>
              <w:rPr>
                <w:rFonts w:hint="eastAsia" w:asciiTheme="minorEastAsia" w:hAnsiTheme="minorEastAsia"/>
                <w:szCs w:val="21"/>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top"/>
          </w:tcPr>
          <w:p>
            <w:pPr>
              <w:jc w:val="center"/>
              <w:rPr>
                <w:rFonts w:hint="eastAsia" w:asciiTheme="minorEastAsia" w:hAnsiTheme="minorEastAsia" w:eastAsiaTheme="minorEastAsia" w:cstheme="minorBidi"/>
                <w:kern w:val="2"/>
                <w:sz w:val="21"/>
                <w:szCs w:val="21"/>
                <w:lang w:val="en-US" w:eastAsia="zh-CN" w:bidi="ar-SA"/>
              </w:rPr>
            </w:pPr>
            <w:r>
              <w:rPr>
                <w:rFonts w:hint="eastAsia"/>
                <w:lang w:val="en-US" w:eastAsia="zh-CN"/>
              </w:rPr>
              <w:t>1</w:t>
            </w:r>
          </w:p>
        </w:tc>
        <w:tc>
          <w:tcPr>
            <w:tcW w:w="2835" w:type="dxa"/>
            <w:vAlign w:val="top"/>
          </w:tcPr>
          <w:p>
            <w:pPr>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报告期末债券回购融资余额</w:t>
            </w:r>
          </w:p>
        </w:tc>
        <w:tc>
          <w:tcPr>
            <w:tcW w:w="1843" w:type="dxa"/>
            <w:vAlign w:val="top"/>
          </w:tcPr>
          <w:p>
            <w:pPr>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0</w:t>
            </w:r>
          </w:p>
        </w:tc>
        <w:tc>
          <w:tcPr>
            <w:tcW w:w="2914" w:type="dxa"/>
            <w:vAlign w:val="top"/>
          </w:tcPr>
          <w:p>
            <w:pPr>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0.00%</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3"/>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73"/>
        <w:gridCol w:w="210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序号</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资产名称</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金额</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占比</w:t>
            </w:r>
          </w:p>
        </w:tc>
      </w:tr>
      <w:tr>
        <w:tblPrEx>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w:t>
            </w:r>
          </w:p>
        </w:tc>
        <w:tc>
          <w:tcPr>
            <w:tcW w:w="4273"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rPr>
              <w:t>贵阳贵银金融租赁有限责任公司</w:t>
            </w:r>
            <w:r>
              <w:rPr>
                <w:rFonts w:hint="eastAsia" w:asciiTheme="minorEastAsia" w:hAnsiTheme="minorEastAsia"/>
                <w:szCs w:val="21"/>
                <w:lang w:val="en-US" w:eastAsia="zh-CN"/>
              </w:rPr>
              <w:t>同业借款</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211,797,250.00</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20.93%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2</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江南租赁20200330-1亿</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101,188,333.33</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3</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19武进经发PPN002</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91,101,895.89</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9.00%</w:t>
            </w:r>
          </w:p>
        </w:tc>
      </w:tr>
      <w:tr>
        <w:tblPrEx>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4</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贵阳贵银金融租赁有限责任公司</w:t>
            </w:r>
            <w:r>
              <w:rPr>
                <w:rFonts w:hint="eastAsia" w:asciiTheme="minorEastAsia" w:hAnsiTheme="minorEastAsia"/>
                <w:szCs w:val="21"/>
                <w:lang w:val="en-US" w:eastAsia="zh-CN"/>
              </w:rPr>
              <w:t>同业借款</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90,760,500.00</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5</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19益阳高新PPN001</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74,872,650.27</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7.40%</w:t>
            </w:r>
          </w:p>
        </w:tc>
      </w:tr>
      <w:tr>
        <w:tblPrEx>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6</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19长沙银行CD130</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69,892,364.16</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7</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19阜阳城南PPN001</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60,863,178.08</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6.01%</w:t>
            </w:r>
          </w:p>
        </w:tc>
      </w:tr>
      <w:tr>
        <w:tblPrEx>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8</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19缙云资产PPN001</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47,714,400.00</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9</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19如皋沿江PPN001</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45,695,342.47</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704" w:type="dxa"/>
            <w:vAlign w:val="center"/>
          </w:tcPr>
          <w:p>
            <w:pPr>
              <w:jc w:val="center"/>
              <w:rPr>
                <w:rFonts w:hint="eastAsia" w:asciiTheme="minorEastAsia" w:hAnsiTheme="minorEastAsia"/>
                <w:szCs w:val="21"/>
              </w:rPr>
            </w:pPr>
            <w:r>
              <w:rPr>
                <w:rFonts w:hint="eastAsia" w:asciiTheme="minorEastAsia" w:hAnsiTheme="minorEastAsia"/>
                <w:szCs w:val="21"/>
              </w:rPr>
              <w:t>10</w:t>
            </w:r>
          </w:p>
        </w:tc>
        <w:tc>
          <w:tcPr>
            <w:tcW w:w="4273" w:type="dxa"/>
            <w:vAlign w:val="center"/>
          </w:tcPr>
          <w:p>
            <w:pPr>
              <w:jc w:val="center"/>
              <w:rPr>
                <w:rFonts w:hint="eastAsia" w:asciiTheme="minorEastAsia" w:hAnsiTheme="minorEastAsia"/>
                <w:szCs w:val="21"/>
              </w:rPr>
            </w:pPr>
            <w:r>
              <w:rPr>
                <w:rFonts w:hint="eastAsia" w:asciiTheme="minorEastAsia" w:hAnsiTheme="minorEastAsia"/>
                <w:szCs w:val="21"/>
              </w:rPr>
              <w:t>19郑州银行CD142</w:t>
            </w:r>
          </w:p>
        </w:tc>
        <w:tc>
          <w:tcPr>
            <w:tcW w:w="2100" w:type="dxa"/>
            <w:vAlign w:val="center"/>
          </w:tcPr>
          <w:p>
            <w:pPr>
              <w:jc w:val="center"/>
              <w:rPr>
                <w:rFonts w:hint="eastAsia" w:asciiTheme="minorEastAsia" w:hAnsiTheme="minorEastAsia"/>
                <w:szCs w:val="21"/>
              </w:rPr>
            </w:pPr>
            <w:r>
              <w:rPr>
                <w:rFonts w:hint="eastAsia" w:asciiTheme="minorEastAsia" w:hAnsiTheme="minorEastAsia"/>
                <w:szCs w:val="21"/>
              </w:rPr>
              <w:t>39,945,293.90</w:t>
            </w:r>
          </w:p>
        </w:tc>
        <w:tc>
          <w:tcPr>
            <w:tcW w:w="1350" w:type="dxa"/>
            <w:vAlign w:val="center"/>
          </w:tcPr>
          <w:p>
            <w:pPr>
              <w:jc w:val="center"/>
              <w:rPr>
                <w:rFonts w:hint="eastAsia" w:asciiTheme="minorEastAsia" w:hAnsiTheme="minorEastAsia"/>
                <w:szCs w:val="21"/>
              </w:rPr>
            </w:pPr>
            <w:r>
              <w:rPr>
                <w:rFonts w:hint="eastAsia" w:asciiTheme="minorEastAsia" w:hAnsiTheme="minorEastAsia"/>
                <w:szCs w:val="21"/>
              </w:rPr>
              <w:t>3.95%</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hint="eastAsia" w:asciiTheme="minorEastAsia" w:hAnsiTheme="minorEastAsia"/>
          <w:szCs w:val="21"/>
        </w:rPr>
      </w:pPr>
    </w:p>
    <w:bookmarkEnd w:id="0"/>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ind w:firstLine="315" w:firstLineChars="150"/>
        <w:rPr>
          <w:rFonts w:asciiTheme="minorEastAsia" w:hAnsiTheme="minorEastAsia"/>
          <w:szCs w:val="21"/>
        </w:rPr>
      </w:pPr>
    </w:p>
    <w:p>
      <w:pPr>
        <w:spacing w:line="480" w:lineRule="exact"/>
        <w:ind w:firstLine="5250" w:firstLineChars="25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center"/>
      </w:pPr>
      <w:r>
        <w:rPr>
          <w:rFonts w:hint="eastAsia" w:asciiTheme="minorEastAsia" w:hAnsiTheme="minorEastAsia"/>
          <w:szCs w:val="21"/>
          <w:lang w:val="en-US" w:eastAsia="zh-CN"/>
        </w:rPr>
        <w:t xml:space="preserve">                                                   </w:t>
      </w: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w:t>
      </w:r>
      <w:bookmarkStart w:id="1" w:name="_GoBack"/>
      <w:bookmarkEnd w:id="1"/>
      <w:r>
        <w:rPr>
          <w:rFonts w:hint="eastAsia" w:asciiTheme="minorEastAsia" w:hAnsiTheme="minorEastAsia"/>
          <w:szCs w:val="21"/>
          <w:lang w:val="en-US" w:eastAsia="zh-CN"/>
        </w:rPr>
        <w:t>日</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5"/>
          <w:jc w:val="center"/>
        </w:pPr>
      </w:p>
    </w:sdtContent>
  </w:sdt>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7DB680E"/>
    <w:rsid w:val="08613963"/>
    <w:rsid w:val="086A15A6"/>
    <w:rsid w:val="092D14CE"/>
    <w:rsid w:val="09563133"/>
    <w:rsid w:val="0BD02B2A"/>
    <w:rsid w:val="0FC53136"/>
    <w:rsid w:val="109116D6"/>
    <w:rsid w:val="12413345"/>
    <w:rsid w:val="12931977"/>
    <w:rsid w:val="13814A1B"/>
    <w:rsid w:val="1441580E"/>
    <w:rsid w:val="145B1C45"/>
    <w:rsid w:val="154F13DA"/>
    <w:rsid w:val="16F25A7E"/>
    <w:rsid w:val="178808A1"/>
    <w:rsid w:val="182721AC"/>
    <w:rsid w:val="197D5ABF"/>
    <w:rsid w:val="19A54864"/>
    <w:rsid w:val="1BDE0CAD"/>
    <w:rsid w:val="1C760FBE"/>
    <w:rsid w:val="1FF23D36"/>
    <w:rsid w:val="21ED676D"/>
    <w:rsid w:val="2350060C"/>
    <w:rsid w:val="25E358EE"/>
    <w:rsid w:val="26FD1903"/>
    <w:rsid w:val="279A5831"/>
    <w:rsid w:val="27BD45FF"/>
    <w:rsid w:val="2911378A"/>
    <w:rsid w:val="29DA3D49"/>
    <w:rsid w:val="2A0F4201"/>
    <w:rsid w:val="2AEB1E5A"/>
    <w:rsid w:val="2FF34915"/>
    <w:rsid w:val="328522BE"/>
    <w:rsid w:val="32A62844"/>
    <w:rsid w:val="331E4C1A"/>
    <w:rsid w:val="335601C3"/>
    <w:rsid w:val="33F54821"/>
    <w:rsid w:val="35DB54D6"/>
    <w:rsid w:val="37B114AF"/>
    <w:rsid w:val="39BA6599"/>
    <w:rsid w:val="3E2835B7"/>
    <w:rsid w:val="3EBE3EFC"/>
    <w:rsid w:val="422B2661"/>
    <w:rsid w:val="42982300"/>
    <w:rsid w:val="43250476"/>
    <w:rsid w:val="472D2614"/>
    <w:rsid w:val="4796481D"/>
    <w:rsid w:val="49343EE8"/>
    <w:rsid w:val="4B1E5A56"/>
    <w:rsid w:val="4E6C5390"/>
    <w:rsid w:val="4F05414C"/>
    <w:rsid w:val="51EC6135"/>
    <w:rsid w:val="572F2943"/>
    <w:rsid w:val="57D83C46"/>
    <w:rsid w:val="586214C2"/>
    <w:rsid w:val="5A622306"/>
    <w:rsid w:val="5AB01723"/>
    <w:rsid w:val="5B5D775F"/>
    <w:rsid w:val="5D5E2859"/>
    <w:rsid w:val="5D8B4F22"/>
    <w:rsid w:val="5F275A3A"/>
    <w:rsid w:val="621F0476"/>
    <w:rsid w:val="63D37DC1"/>
    <w:rsid w:val="671D7CC1"/>
    <w:rsid w:val="687C70C4"/>
    <w:rsid w:val="69074462"/>
    <w:rsid w:val="6C9B0C01"/>
    <w:rsid w:val="6E546A74"/>
    <w:rsid w:val="6FA67F07"/>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39"/>
    <w:unhideWhenUsed/>
    <w:qFormat/>
    <w:uiPriority w:val="99"/>
    <w:rPr>
      <w:b/>
      <w:bCs/>
    </w:rPr>
  </w:style>
  <w:style w:type="paragraph" w:styleId="12">
    <w:name w:val="annotation text"/>
    <w:basedOn w:val="1"/>
    <w:link w:val="38"/>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Balloon Text"/>
    <w:basedOn w:val="1"/>
    <w:link w:val="37"/>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styleId="21">
    <w:name w:val="annotation reference"/>
    <w:basedOn w:val="19"/>
    <w:unhideWhenUsed/>
    <w:qFormat/>
    <w:uiPriority w:val="99"/>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标题 1 Char"/>
    <w:basedOn w:val="19"/>
    <w:link w:val="2"/>
    <w:qFormat/>
    <w:uiPriority w:val="9"/>
    <w:rPr>
      <w:b/>
      <w:bCs/>
      <w:kern w:val="44"/>
      <w:sz w:val="28"/>
      <w:szCs w:val="44"/>
    </w:rPr>
  </w:style>
  <w:style w:type="character" w:customStyle="1" w:styleId="25">
    <w:name w:val="标题 2 Char"/>
    <w:basedOn w:val="19"/>
    <w:link w:val="3"/>
    <w:qFormat/>
    <w:uiPriority w:val="9"/>
    <w:rPr>
      <w:rFonts w:asciiTheme="majorHAnsi" w:hAnsiTheme="majorHAnsi" w:eastAsiaTheme="majorEastAsia" w:cstheme="majorBidi"/>
      <w:b/>
      <w:bCs/>
      <w:sz w:val="28"/>
      <w:szCs w:val="32"/>
    </w:rPr>
  </w:style>
  <w:style w:type="character" w:customStyle="1" w:styleId="26">
    <w:name w:val="标题 3 Char"/>
    <w:basedOn w:val="19"/>
    <w:link w:val="4"/>
    <w:qFormat/>
    <w:uiPriority w:val="9"/>
    <w:rPr>
      <w:b/>
      <w:bCs/>
      <w:sz w:val="24"/>
      <w:szCs w:val="32"/>
    </w:rPr>
  </w:style>
  <w:style w:type="character" w:customStyle="1" w:styleId="27">
    <w:name w:val="标题 4 Char"/>
    <w:basedOn w:val="19"/>
    <w:link w:val="5"/>
    <w:qFormat/>
    <w:uiPriority w:val="9"/>
    <w:rPr>
      <w:rFonts w:asciiTheme="majorHAnsi" w:hAnsiTheme="majorHAnsi" w:eastAsiaTheme="majorEastAsia" w:cstheme="majorBidi"/>
      <w:b/>
      <w:bCs/>
      <w:sz w:val="24"/>
      <w:szCs w:val="28"/>
    </w:rPr>
  </w:style>
  <w:style w:type="character" w:customStyle="1" w:styleId="28">
    <w:name w:val="标题 5 Char"/>
    <w:basedOn w:val="19"/>
    <w:link w:val="6"/>
    <w:semiHidden/>
    <w:qFormat/>
    <w:uiPriority w:val="9"/>
    <w:rPr>
      <w:b/>
      <w:bCs/>
      <w:sz w:val="28"/>
      <w:szCs w:val="28"/>
    </w:rPr>
  </w:style>
  <w:style w:type="character" w:customStyle="1" w:styleId="29">
    <w:name w:val="标题 6 Char"/>
    <w:basedOn w:val="19"/>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19"/>
    <w:link w:val="8"/>
    <w:semiHidden/>
    <w:qFormat/>
    <w:uiPriority w:val="9"/>
    <w:rPr>
      <w:b/>
      <w:bCs/>
      <w:sz w:val="24"/>
      <w:szCs w:val="24"/>
    </w:rPr>
  </w:style>
  <w:style w:type="character" w:customStyle="1" w:styleId="31">
    <w:name w:val="标题 8 Char"/>
    <w:basedOn w:val="19"/>
    <w:link w:val="9"/>
    <w:semiHidden/>
    <w:qFormat/>
    <w:uiPriority w:val="9"/>
    <w:rPr>
      <w:rFonts w:asciiTheme="majorHAnsi" w:hAnsiTheme="majorHAnsi" w:eastAsiaTheme="majorEastAsia" w:cstheme="majorBidi"/>
      <w:sz w:val="24"/>
      <w:szCs w:val="24"/>
    </w:rPr>
  </w:style>
  <w:style w:type="character" w:customStyle="1" w:styleId="32">
    <w:name w:val="标题 9 Char"/>
    <w:basedOn w:val="19"/>
    <w:link w:val="10"/>
    <w:semiHidden/>
    <w:qFormat/>
    <w:uiPriority w:val="9"/>
    <w:rPr>
      <w:rFonts w:asciiTheme="majorHAnsi" w:hAnsiTheme="majorHAnsi" w:eastAsiaTheme="majorEastAsia" w:cstheme="majorBidi"/>
      <w:szCs w:val="21"/>
    </w:rPr>
  </w:style>
  <w:style w:type="character" w:customStyle="1" w:styleId="33">
    <w:name w:val="页眉 Char"/>
    <w:basedOn w:val="19"/>
    <w:link w:val="16"/>
    <w:qFormat/>
    <w:uiPriority w:val="99"/>
    <w:rPr>
      <w:sz w:val="18"/>
      <w:szCs w:val="18"/>
    </w:rPr>
  </w:style>
  <w:style w:type="character" w:customStyle="1" w:styleId="34">
    <w:name w:val="页脚 Char"/>
    <w:basedOn w:val="19"/>
    <w:link w:val="15"/>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19"/>
    <w:link w:val="14"/>
    <w:semiHidden/>
    <w:qFormat/>
    <w:uiPriority w:val="99"/>
    <w:rPr>
      <w:sz w:val="18"/>
      <w:szCs w:val="18"/>
    </w:rPr>
  </w:style>
  <w:style w:type="character" w:customStyle="1" w:styleId="38">
    <w:name w:val="批注文字 Char"/>
    <w:basedOn w:val="19"/>
    <w:link w:val="12"/>
    <w:qFormat/>
    <w:uiPriority w:val="99"/>
    <w:rPr>
      <w:kern w:val="2"/>
      <w:sz w:val="21"/>
      <w:szCs w:val="22"/>
    </w:rPr>
  </w:style>
  <w:style w:type="character" w:customStyle="1" w:styleId="39">
    <w:name w:val="批注主题 Char"/>
    <w:basedOn w:val="38"/>
    <w:link w:val="11"/>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TotalTime>
  <ScaleCrop>false</ScaleCrop>
  <LinksUpToDate>false</LinksUpToDate>
  <CharactersWithSpaces>660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ll</cp:lastModifiedBy>
  <cp:lastPrinted>2020-07-08T09:28:00Z</cp:lastPrinted>
  <dcterms:modified xsi:type="dcterms:W3CDTF">2020-07-21T03:05:30Z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