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重庆农村商业银行江渝财富“天添金”2020年第23期公募封闭式净值型投资管理报告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江渝财富“天添金”2020年第23期公募封闭式净值型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12020023GFJ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413,025,000.00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2021-05-11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346010100102604855</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417,639,505.74</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1.0111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1.0111</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42"/>
        <w:gridCol w:w="2670"/>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2542"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项目</w:t>
            </w:r>
          </w:p>
        </w:tc>
        <w:tc>
          <w:tcPr>
            <w:tcW w:w="267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234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1</w:t>
            </w:r>
          </w:p>
        </w:tc>
        <w:tc>
          <w:tcPr>
            <w:tcW w:w="2542" w:type="dxa"/>
            <w:vAlign w:val="center"/>
          </w:tcPr>
          <w:p>
            <w:pPr>
              <w:jc w:val="center"/>
              <w:rPr>
                <w:rFonts w:hint="eastAsia" w:asciiTheme="minorEastAsia" w:hAnsiTheme="minorEastAsia" w:eastAsiaTheme="minorEastAsia"/>
                <w:szCs w:val="21"/>
                <w:lang w:eastAsia="zh-CN"/>
              </w:rPr>
            </w:pPr>
            <w:r>
              <w:rPr>
                <w:rFonts w:hint="eastAsia"/>
                <w:lang w:val="en-US" w:eastAsia="zh-CN"/>
              </w:rPr>
              <w:t>债券</w:t>
            </w:r>
          </w:p>
        </w:tc>
        <w:tc>
          <w:tcPr>
            <w:tcW w:w="2670"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160,466,116.75</w:t>
            </w:r>
          </w:p>
        </w:tc>
        <w:tc>
          <w:tcPr>
            <w:tcW w:w="234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2</w:t>
            </w:r>
          </w:p>
        </w:tc>
        <w:tc>
          <w:tcPr>
            <w:tcW w:w="2542" w:type="dxa"/>
            <w:vAlign w:val="center"/>
          </w:tcPr>
          <w:p>
            <w:pPr>
              <w:jc w:val="center"/>
              <w:rPr>
                <w:rFonts w:hint="default" w:asciiTheme="minorEastAsia" w:hAnsiTheme="minorEastAsia" w:eastAsiaTheme="minorEastAsia"/>
                <w:szCs w:val="21"/>
                <w:lang w:val="en-US" w:eastAsia="zh-CN"/>
              </w:rPr>
            </w:pPr>
            <w:r>
              <w:rPr>
                <w:rFonts w:hint="eastAsia"/>
                <w:lang w:val="en-US" w:eastAsia="zh-CN"/>
              </w:rPr>
              <w:t>同业往来资产</w:t>
            </w:r>
          </w:p>
        </w:tc>
        <w:tc>
          <w:tcPr>
            <w:tcW w:w="2670"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257,925,319.36</w:t>
            </w:r>
          </w:p>
        </w:tc>
        <w:tc>
          <w:tcPr>
            <w:tcW w:w="234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42" w:type="dxa"/>
            <w:vAlign w:val="center"/>
          </w:tcPr>
          <w:p>
            <w:pPr>
              <w:jc w:val="center"/>
              <w:rPr>
                <w:rFonts w:asciiTheme="minorEastAsia" w:hAnsiTheme="minorEastAsia"/>
                <w:szCs w:val="21"/>
              </w:rPr>
            </w:pPr>
            <w:r>
              <w:t>合计</w:t>
            </w:r>
          </w:p>
        </w:tc>
        <w:tc>
          <w:tcPr>
            <w:tcW w:w="267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418,391,436.11</w:t>
            </w:r>
          </w:p>
        </w:tc>
        <w:tc>
          <w:tcPr>
            <w:tcW w:w="234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100.00%</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rPr>
                <w:rFonts w:hint="eastAsia"/>
                <w:lang w:val="en-US" w:eastAsia="zh-CN"/>
              </w:rPr>
            </w:pPr>
            <w:r>
              <w:rPr>
                <w:rFonts w:hint="eastAsia"/>
                <w:lang w:val="en-US" w:eastAsia="zh-CN"/>
              </w:rPr>
              <w:t>序号</w:t>
            </w:r>
          </w:p>
        </w:tc>
        <w:tc>
          <w:tcPr>
            <w:tcW w:w="2835" w:type="dxa"/>
          </w:tcPr>
          <w:p>
            <w:pPr>
              <w:jc w:val="center"/>
              <w:rPr>
                <w:rFonts w:hint="eastAsia"/>
                <w:lang w:val="en-US" w:eastAsia="zh-CN"/>
              </w:rPr>
            </w:pPr>
            <w:r>
              <w:rPr>
                <w:rFonts w:hint="eastAsia"/>
                <w:lang w:val="en-US" w:eastAsia="zh-CN"/>
              </w:rPr>
              <w:t>项目</w:t>
            </w:r>
          </w:p>
        </w:tc>
        <w:tc>
          <w:tcPr>
            <w:tcW w:w="1843" w:type="dxa"/>
          </w:tcPr>
          <w:p>
            <w:pPr>
              <w:jc w:val="center"/>
              <w:rPr>
                <w:rFonts w:hint="eastAsia"/>
                <w:lang w:val="en-US" w:eastAsia="zh-CN"/>
              </w:rPr>
            </w:pPr>
            <w:r>
              <w:rPr>
                <w:rFonts w:hint="eastAsia"/>
                <w:lang w:val="en-US" w:eastAsia="zh-CN"/>
              </w:rPr>
              <w:t>金额</w:t>
            </w:r>
          </w:p>
        </w:tc>
        <w:tc>
          <w:tcPr>
            <w:tcW w:w="2914" w:type="dxa"/>
          </w:tcPr>
          <w:p>
            <w:pPr>
              <w:jc w:val="center"/>
              <w:rPr>
                <w:rFonts w:hint="eastAsia"/>
                <w:lang w:val="en-US" w:eastAsia="zh-CN"/>
              </w:rPr>
            </w:pPr>
            <w:r>
              <w:rPr>
                <w:rFonts w:hint="eastAsia"/>
                <w:lang w:val="en-US" w:eastAsia="zh-CN"/>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rFonts w:hint="eastAsia"/>
                <w:lang w:val="en-US" w:eastAsia="zh-CN"/>
              </w:rPr>
            </w:pPr>
            <w:r>
              <w:rPr>
                <w:rFonts w:hint="eastAsia"/>
                <w:lang w:val="en-US" w:eastAsia="zh-CN"/>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1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hint="eastAsia" w:asciiTheme="minorEastAsia" w:hAnsiTheme="minorEastAsia"/>
          <w:szCs w:val="21"/>
        </w:rPr>
      </w:pPr>
      <w:r>
        <w:rPr>
          <w:rFonts w:hint="eastAsia" w:asciiTheme="minorEastAsia" w:hAnsiTheme="minorEastAsia"/>
          <w:szCs w:val="21"/>
        </w:rPr>
        <w:t>截至2020年06月30日，本产品持仓前十项资产明细如下：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48"/>
        <w:gridCol w:w="204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3748" w:type="dxa"/>
            <w:vAlign w:val="center"/>
          </w:tcPr>
          <w:p>
            <w:pPr>
              <w:jc w:val="center"/>
              <w:rPr>
                <w:rFonts w:hint="eastAsia" w:asciiTheme="minorEastAsia" w:hAnsiTheme="minorEastAsia"/>
                <w:szCs w:val="21"/>
              </w:rPr>
            </w:pPr>
            <w:r>
              <w:rPr>
                <w:rFonts w:hint="eastAsia" w:asciiTheme="minorEastAsia" w:hAnsiTheme="minorEastAsia"/>
                <w:szCs w:val="21"/>
              </w:rPr>
              <w:t>资产名称</w:t>
            </w:r>
          </w:p>
        </w:tc>
        <w:tc>
          <w:tcPr>
            <w:tcW w:w="2040"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905"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374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山东通达金融租赁有限公司</w:t>
            </w:r>
            <w:r>
              <w:rPr>
                <w:rFonts w:hint="eastAsia" w:asciiTheme="minorEastAsia" w:hAnsiTheme="minorEastAsia"/>
                <w:szCs w:val="21"/>
                <w:lang w:val="en-US" w:eastAsia="zh-CN"/>
              </w:rPr>
              <w:t>同业借款</w:t>
            </w:r>
          </w:p>
        </w:tc>
        <w:tc>
          <w:tcPr>
            <w:tcW w:w="2040" w:type="dxa"/>
            <w:vAlign w:val="center"/>
          </w:tcPr>
          <w:p>
            <w:pPr>
              <w:jc w:val="center"/>
              <w:rPr>
                <w:rFonts w:hint="eastAsia" w:asciiTheme="minorEastAsia" w:hAnsiTheme="minorEastAsia"/>
                <w:szCs w:val="21"/>
              </w:rPr>
            </w:pPr>
            <w:r>
              <w:rPr>
                <w:rFonts w:hint="eastAsia" w:asciiTheme="minorEastAsia" w:hAnsiTheme="minorEastAsia"/>
                <w:szCs w:val="21"/>
              </w:rPr>
              <w:t>252,651,388.89</w:t>
            </w:r>
          </w:p>
        </w:tc>
        <w:tc>
          <w:tcPr>
            <w:tcW w:w="1905" w:type="dxa"/>
            <w:vAlign w:val="center"/>
          </w:tcPr>
          <w:p>
            <w:pPr>
              <w:jc w:val="center"/>
              <w:rPr>
                <w:rFonts w:hint="eastAsia" w:asciiTheme="minorEastAsia" w:hAnsiTheme="minorEastAsia"/>
                <w:szCs w:val="21"/>
              </w:rPr>
            </w:pPr>
            <w:r>
              <w:rPr>
                <w:rFonts w:hint="eastAsia" w:asciiTheme="minorEastAsia" w:hAnsiTheme="minorEastAsia"/>
                <w:szCs w:val="21"/>
              </w:rPr>
              <w:t>60.39%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3748" w:type="dxa"/>
            <w:vAlign w:val="center"/>
          </w:tcPr>
          <w:p>
            <w:pPr>
              <w:jc w:val="center"/>
              <w:rPr>
                <w:rFonts w:hint="eastAsia" w:asciiTheme="minorEastAsia" w:hAnsiTheme="minorEastAsia"/>
                <w:szCs w:val="21"/>
              </w:rPr>
            </w:pPr>
            <w:r>
              <w:rPr>
                <w:rFonts w:hint="eastAsia" w:asciiTheme="minorEastAsia" w:hAnsiTheme="minorEastAsia"/>
                <w:szCs w:val="21"/>
              </w:rPr>
              <w:t>19德达城建02</w:t>
            </w:r>
          </w:p>
        </w:tc>
        <w:tc>
          <w:tcPr>
            <w:tcW w:w="2040" w:type="dxa"/>
            <w:vAlign w:val="center"/>
          </w:tcPr>
          <w:p>
            <w:pPr>
              <w:jc w:val="center"/>
              <w:rPr>
                <w:rFonts w:hint="eastAsia" w:asciiTheme="minorEastAsia" w:hAnsiTheme="minorEastAsia"/>
                <w:szCs w:val="21"/>
              </w:rPr>
            </w:pPr>
            <w:r>
              <w:rPr>
                <w:rFonts w:hint="eastAsia" w:asciiTheme="minorEastAsia" w:hAnsiTheme="minorEastAsia"/>
                <w:szCs w:val="21"/>
              </w:rPr>
              <w:t>40,710,136.99</w:t>
            </w:r>
          </w:p>
        </w:tc>
        <w:tc>
          <w:tcPr>
            <w:tcW w:w="1905" w:type="dxa"/>
            <w:vAlign w:val="center"/>
          </w:tcPr>
          <w:p>
            <w:pPr>
              <w:jc w:val="center"/>
              <w:rPr>
                <w:rFonts w:hint="eastAsia" w:asciiTheme="minorEastAsia" w:hAnsiTheme="minorEastAsia"/>
                <w:szCs w:val="21"/>
              </w:rPr>
            </w:pPr>
            <w:r>
              <w:rPr>
                <w:rFonts w:hint="eastAsia" w:asciiTheme="minorEastAsia" w:hAnsiTheme="minorEastAsia"/>
                <w:szCs w:val="21"/>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3</w:t>
            </w:r>
          </w:p>
        </w:tc>
        <w:tc>
          <w:tcPr>
            <w:tcW w:w="3748" w:type="dxa"/>
            <w:vAlign w:val="center"/>
          </w:tcPr>
          <w:p>
            <w:pPr>
              <w:jc w:val="center"/>
              <w:rPr>
                <w:rFonts w:hint="eastAsia" w:asciiTheme="minorEastAsia" w:hAnsiTheme="minorEastAsia"/>
                <w:szCs w:val="21"/>
              </w:rPr>
            </w:pPr>
            <w:r>
              <w:rPr>
                <w:rFonts w:hint="eastAsia" w:asciiTheme="minorEastAsia" w:hAnsiTheme="minorEastAsia"/>
                <w:szCs w:val="21"/>
              </w:rPr>
              <w:t>19徐州广弘01</w:t>
            </w:r>
          </w:p>
        </w:tc>
        <w:tc>
          <w:tcPr>
            <w:tcW w:w="2040" w:type="dxa"/>
            <w:vAlign w:val="center"/>
          </w:tcPr>
          <w:p>
            <w:pPr>
              <w:jc w:val="center"/>
              <w:rPr>
                <w:rFonts w:hint="eastAsia" w:asciiTheme="minorEastAsia" w:hAnsiTheme="minorEastAsia"/>
                <w:szCs w:val="21"/>
              </w:rPr>
            </w:pPr>
            <w:r>
              <w:rPr>
                <w:rFonts w:hint="eastAsia" w:asciiTheme="minorEastAsia" w:hAnsiTheme="minorEastAsia"/>
                <w:szCs w:val="21"/>
              </w:rPr>
              <w:t>40,399,555.56</w:t>
            </w:r>
          </w:p>
        </w:tc>
        <w:tc>
          <w:tcPr>
            <w:tcW w:w="1905" w:type="dxa"/>
            <w:vAlign w:val="center"/>
          </w:tcPr>
          <w:p>
            <w:pPr>
              <w:jc w:val="center"/>
              <w:rPr>
                <w:rFonts w:hint="eastAsia" w:asciiTheme="minorEastAsia" w:hAnsiTheme="minorEastAsia"/>
                <w:szCs w:val="21"/>
              </w:rPr>
            </w:pPr>
            <w:r>
              <w:rPr>
                <w:rFonts w:hint="eastAsia" w:asciiTheme="minorEastAsia" w:hAnsiTheme="minorEastAsia"/>
                <w:szCs w:val="21"/>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4</w:t>
            </w:r>
          </w:p>
        </w:tc>
        <w:tc>
          <w:tcPr>
            <w:tcW w:w="3748" w:type="dxa"/>
            <w:vAlign w:val="center"/>
          </w:tcPr>
          <w:p>
            <w:pPr>
              <w:jc w:val="center"/>
              <w:rPr>
                <w:rFonts w:hint="eastAsia" w:asciiTheme="minorEastAsia" w:hAnsiTheme="minorEastAsia"/>
                <w:szCs w:val="21"/>
              </w:rPr>
            </w:pPr>
            <w:r>
              <w:rPr>
                <w:rFonts w:hint="eastAsia" w:asciiTheme="minorEastAsia" w:hAnsiTheme="minorEastAsia"/>
                <w:szCs w:val="21"/>
              </w:rPr>
              <w:t>19株洲国投02</w:t>
            </w:r>
          </w:p>
        </w:tc>
        <w:tc>
          <w:tcPr>
            <w:tcW w:w="2040" w:type="dxa"/>
            <w:vAlign w:val="center"/>
          </w:tcPr>
          <w:p>
            <w:pPr>
              <w:jc w:val="center"/>
              <w:rPr>
                <w:rFonts w:hint="eastAsia" w:asciiTheme="minorEastAsia" w:hAnsiTheme="minorEastAsia"/>
                <w:szCs w:val="21"/>
              </w:rPr>
            </w:pPr>
            <w:r>
              <w:rPr>
                <w:rFonts w:hint="eastAsia" w:asciiTheme="minorEastAsia" w:hAnsiTheme="minorEastAsia"/>
                <w:szCs w:val="21"/>
              </w:rPr>
              <w:t>40,034,166.67</w:t>
            </w:r>
          </w:p>
        </w:tc>
        <w:tc>
          <w:tcPr>
            <w:tcW w:w="1905" w:type="dxa"/>
            <w:vAlign w:val="center"/>
          </w:tcPr>
          <w:p>
            <w:pPr>
              <w:jc w:val="center"/>
              <w:rPr>
                <w:rFonts w:hint="eastAsia" w:asciiTheme="minorEastAsia" w:hAnsiTheme="minorEastAsia"/>
                <w:szCs w:val="21"/>
              </w:rPr>
            </w:pPr>
            <w:r>
              <w:rPr>
                <w:rFonts w:hint="eastAsia" w:asciiTheme="minorEastAsia" w:hAnsiTheme="minorEastAsia"/>
                <w:szCs w:val="21"/>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5</w:t>
            </w:r>
          </w:p>
        </w:tc>
        <w:tc>
          <w:tcPr>
            <w:tcW w:w="3748" w:type="dxa"/>
            <w:vAlign w:val="center"/>
          </w:tcPr>
          <w:p>
            <w:pPr>
              <w:jc w:val="center"/>
              <w:rPr>
                <w:rFonts w:hint="eastAsia" w:asciiTheme="minorEastAsia" w:hAnsiTheme="minorEastAsia"/>
                <w:szCs w:val="21"/>
              </w:rPr>
            </w:pPr>
            <w:r>
              <w:rPr>
                <w:rFonts w:hint="eastAsia" w:asciiTheme="minorEastAsia" w:hAnsiTheme="minorEastAsia"/>
                <w:szCs w:val="21"/>
              </w:rPr>
              <w:t>19海曙广聚01</w:t>
            </w:r>
          </w:p>
        </w:tc>
        <w:tc>
          <w:tcPr>
            <w:tcW w:w="2040" w:type="dxa"/>
            <w:vAlign w:val="center"/>
          </w:tcPr>
          <w:p>
            <w:pPr>
              <w:jc w:val="center"/>
              <w:rPr>
                <w:rFonts w:hint="eastAsia" w:asciiTheme="minorEastAsia" w:hAnsiTheme="minorEastAsia"/>
                <w:szCs w:val="21"/>
              </w:rPr>
            </w:pPr>
            <w:r>
              <w:rPr>
                <w:rFonts w:hint="eastAsia" w:asciiTheme="minorEastAsia" w:hAnsiTheme="minorEastAsia"/>
                <w:szCs w:val="21"/>
              </w:rPr>
              <w:t>39,322,257.53</w:t>
            </w:r>
          </w:p>
        </w:tc>
        <w:tc>
          <w:tcPr>
            <w:tcW w:w="1905" w:type="dxa"/>
            <w:vAlign w:val="center"/>
          </w:tcPr>
          <w:p>
            <w:pPr>
              <w:jc w:val="center"/>
              <w:rPr>
                <w:rFonts w:hint="eastAsia" w:asciiTheme="minorEastAsia" w:hAnsiTheme="minorEastAsia"/>
                <w:szCs w:val="21"/>
              </w:rPr>
            </w:pPr>
            <w:r>
              <w:rPr>
                <w:rFonts w:hint="eastAsia" w:asciiTheme="minorEastAsia" w:hAnsiTheme="minorEastAsia"/>
                <w:szCs w:val="21"/>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6</w:t>
            </w:r>
          </w:p>
        </w:tc>
        <w:tc>
          <w:tcPr>
            <w:tcW w:w="3748"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银行存款</w:t>
            </w:r>
          </w:p>
        </w:tc>
        <w:tc>
          <w:tcPr>
            <w:tcW w:w="2040" w:type="dxa"/>
            <w:vAlign w:val="center"/>
          </w:tcPr>
          <w:p>
            <w:pPr>
              <w:jc w:val="center"/>
              <w:rPr>
                <w:rFonts w:hint="eastAsia" w:asciiTheme="minorEastAsia" w:hAnsiTheme="minorEastAsia"/>
                <w:szCs w:val="21"/>
              </w:rPr>
            </w:pPr>
            <w:r>
              <w:rPr>
                <w:rFonts w:hint="eastAsia" w:asciiTheme="minorEastAsia" w:hAnsiTheme="minorEastAsia"/>
                <w:szCs w:val="21"/>
              </w:rPr>
              <w:t>5,273,930.47</w:t>
            </w:r>
          </w:p>
        </w:tc>
        <w:tc>
          <w:tcPr>
            <w:tcW w:w="1905" w:type="dxa"/>
            <w:vAlign w:val="center"/>
          </w:tcPr>
          <w:p>
            <w:pPr>
              <w:jc w:val="center"/>
              <w:rPr>
                <w:rFonts w:hint="eastAsia" w:asciiTheme="minorEastAsia" w:hAnsiTheme="minorEastAsia"/>
                <w:szCs w:val="21"/>
              </w:rPr>
            </w:pPr>
            <w:r>
              <w:rPr>
                <w:rFonts w:hint="eastAsia" w:asciiTheme="minorEastAsia" w:hAnsiTheme="minorEastAsia"/>
                <w:szCs w:val="21"/>
              </w:rPr>
              <w:t>1.26%</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bookmarkStart w:id="1" w:name="_GoBack"/>
      <w:bookmarkEnd w:id="1"/>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0B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341FF8"/>
    <w:rsid w:val="046451CE"/>
    <w:rsid w:val="07DB680E"/>
    <w:rsid w:val="08613963"/>
    <w:rsid w:val="092D14CE"/>
    <w:rsid w:val="09563133"/>
    <w:rsid w:val="096566C0"/>
    <w:rsid w:val="0A203A62"/>
    <w:rsid w:val="0BD02B2A"/>
    <w:rsid w:val="0FC53136"/>
    <w:rsid w:val="109116D6"/>
    <w:rsid w:val="12413345"/>
    <w:rsid w:val="12931977"/>
    <w:rsid w:val="13814A1B"/>
    <w:rsid w:val="1441580E"/>
    <w:rsid w:val="145B1C45"/>
    <w:rsid w:val="14C52F7B"/>
    <w:rsid w:val="154F13DA"/>
    <w:rsid w:val="182721AC"/>
    <w:rsid w:val="18C814D4"/>
    <w:rsid w:val="197D5ABF"/>
    <w:rsid w:val="19A54864"/>
    <w:rsid w:val="1BDE0CAD"/>
    <w:rsid w:val="1C760FBE"/>
    <w:rsid w:val="1FF23D36"/>
    <w:rsid w:val="21ED676D"/>
    <w:rsid w:val="2350060C"/>
    <w:rsid w:val="25E358EE"/>
    <w:rsid w:val="26FD1903"/>
    <w:rsid w:val="27BD45FF"/>
    <w:rsid w:val="29DA3D49"/>
    <w:rsid w:val="2A0F4201"/>
    <w:rsid w:val="2AEB1E5A"/>
    <w:rsid w:val="2FF34915"/>
    <w:rsid w:val="30AE7994"/>
    <w:rsid w:val="328522BE"/>
    <w:rsid w:val="331E4C1A"/>
    <w:rsid w:val="335601C3"/>
    <w:rsid w:val="337F5DC7"/>
    <w:rsid w:val="33F54821"/>
    <w:rsid w:val="344C24DD"/>
    <w:rsid w:val="35DB54D6"/>
    <w:rsid w:val="37B114AF"/>
    <w:rsid w:val="39BA6599"/>
    <w:rsid w:val="3E2835B7"/>
    <w:rsid w:val="3EBE3EFC"/>
    <w:rsid w:val="422B2661"/>
    <w:rsid w:val="42982300"/>
    <w:rsid w:val="43250476"/>
    <w:rsid w:val="463E5E0E"/>
    <w:rsid w:val="472D2614"/>
    <w:rsid w:val="49343EE8"/>
    <w:rsid w:val="4B1E5A56"/>
    <w:rsid w:val="4D523385"/>
    <w:rsid w:val="4E6C5390"/>
    <w:rsid w:val="4F05414C"/>
    <w:rsid w:val="51EC6135"/>
    <w:rsid w:val="572F2943"/>
    <w:rsid w:val="57D83C46"/>
    <w:rsid w:val="586214C2"/>
    <w:rsid w:val="5A622306"/>
    <w:rsid w:val="5AB01723"/>
    <w:rsid w:val="5D5E2859"/>
    <w:rsid w:val="5D8B4F22"/>
    <w:rsid w:val="621F0476"/>
    <w:rsid w:val="63D37DC1"/>
    <w:rsid w:val="671D7CC1"/>
    <w:rsid w:val="687C70C4"/>
    <w:rsid w:val="69074462"/>
    <w:rsid w:val="6A5D7733"/>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6</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2020-07-15T01:59:00Z</cp:lastPrinted>
  <dcterms:modified xsi:type="dcterms:W3CDTF">2020-07-21T03:12:29Z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