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重庆农村商业银行江渝财富“天添金”2020年第31期公募封闭式净值型投资管理报告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江渝财富“天添金”2020年第31期公募封闭式净值型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12020031GFJ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999,600,000.00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4.6</w:t>
            </w:r>
            <w:r>
              <w:rPr>
                <w:rFonts w:hint="eastAsia" w:asciiTheme="minorEastAsia" w:hAnsiTheme="minorEastAsia"/>
                <w:szCs w:val="21"/>
                <w:lang w:val="en-US" w:eastAsia="zh-CN"/>
              </w:rPr>
              <w:t>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2021-06-18</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1,018,734,333.67</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1.0191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1.0191</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0"/>
        <w:tblW w:w="8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704"/>
        <w:gridCol w:w="241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rPr>
                <w:rFonts w:asciiTheme="minorEastAsia" w:hAnsiTheme="minorEastAsia"/>
                <w:szCs w:val="21"/>
              </w:rPr>
              <w:t>序号</w:t>
            </w:r>
          </w:p>
        </w:tc>
        <w:tc>
          <w:tcPr>
            <w:tcW w:w="3704"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项目</w:t>
            </w:r>
          </w:p>
        </w:tc>
        <w:tc>
          <w:tcPr>
            <w:tcW w:w="2415" w:type="dxa"/>
            <w:vAlign w:val="center"/>
          </w:tcPr>
          <w:p>
            <w:pPr>
              <w:jc w:val="center"/>
              <w:rPr>
                <w:rFonts w:asciiTheme="minorEastAsia" w:hAnsiTheme="minorEastAsia"/>
                <w:szCs w:val="21"/>
              </w:rPr>
            </w:pPr>
            <w:r>
              <w:rPr>
                <w:rFonts w:asciiTheme="minorEastAsia" w:hAnsiTheme="minorEastAsia"/>
                <w:szCs w:val="21"/>
              </w:rPr>
              <w:t>金额</w:t>
            </w:r>
          </w:p>
        </w:tc>
        <w:tc>
          <w:tcPr>
            <w:tcW w:w="1500" w:type="dxa"/>
            <w:vAlign w:val="center"/>
          </w:tcPr>
          <w:p>
            <w:pPr>
              <w:jc w:val="center"/>
              <w:rPr>
                <w:rFonts w:asciiTheme="minorEastAsia" w:hAnsiTheme="minorEastAsia"/>
                <w:szCs w:val="21"/>
              </w:rPr>
            </w:pPr>
            <w:r>
              <w:rPr>
                <w:rFonts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1</w:t>
            </w:r>
          </w:p>
        </w:tc>
        <w:tc>
          <w:tcPr>
            <w:tcW w:w="3704" w:type="dxa"/>
            <w:vAlign w:val="center"/>
          </w:tcPr>
          <w:p>
            <w:pPr>
              <w:jc w:val="center"/>
              <w:rPr>
                <w:rFonts w:hint="eastAsia" w:asciiTheme="minorEastAsia" w:hAnsiTheme="minorEastAsia" w:eastAsiaTheme="minorEastAsia"/>
                <w:szCs w:val="21"/>
                <w:lang w:eastAsia="zh-CN"/>
              </w:rPr>
            </w:pPr>
            <w:r>
              <w:rPr>
                <w:rFonts w:hint="eastAsia"/>
                <w:lang w:val="en-US" w:eastAsia="zh-CN"/>
              </w:rPr>
              <w:t>债券</w:t>
            </w:r>
          </w:p>
        </w:tc>
        <w:tc>
          <w:tcPr>
            <w:tcW w:w="2415"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918,698,625.33</w:t>
            </w:r>
          </w:p>
        </w:tc>
        <w:tc>
          <w:tcPr>
            <w:tcW w:w="1500" w:type="dxa"/>
            <w:vAlign w:val="center"/>
          </w:tcPr>
          <w:p>
            <w:pPr>
              <w:jc w:val="center"/>
              <w:rPr>
                <w:rFonts w:hint="eastAsia" w:asciiTheme="minorEastAsia" w:hAnsiTheme="minorEastAsia"/>
                <w:szCs w:val="21"/>
              </w:rPr>
            </w:pPr>
            <w:r>
              <w:rPr>
                <w:rFonts w:hint="eastAsia" w:asciiTheme="minorEastAsia" w:hAnsiTheme="minorEastAsia"/>
                <w:szCs w:val="21"/>
                <w:lang w:val="en-US" w:eastAsia="zh-CN"/>
              </w:rPr>
              <w:t>89.78</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2</w:t>
            </w:r>
          </w:p>
        </w:tc>
        <w:tc>
          <w:tcPr>
            <w:tcW w:w="3704" w:type="dxa"/>
            <w:vAlign w:val="center"/>
          </w:tcPr>
          <w:p>
            <w:pPr>
              <w:jc w:val="center"/>
              <w:rPr>
                <w:rFonts w:hint="default" w:asciiTheme="minorEastAsia" w:hAnsiTheme="minorEastAsia" w:eastAsiaTheme="minorEastAsia"/>
                <w:szCs w:val="21"/>
                <w:lang w:val="en-US" w:eastAsia="zh-CN"/>
              </w:rPr>
            </w:pPr>
            <w:r>
              <w:rPr>
                <w:rFonts w:hint="eastAsia"/>
                <w:lang w:val="en-US" w:eastAsia="zh-CN"/>
              </w:rPr>
              <w:t>同业往来资产</w:t>
            </w:r>
          </w:p>
        </w:tc>
        <w:tc>
          <w:tcPr>
            <w:tcW w:w="2415"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104,611,795.85</w:t>
            </w:r>
          </w:p>
        </w:tc>
        <w:tc>
          <w:tcPr>
            <w:tcW w:w="1500" w:type="dxa"/>
            <w:vAlign w:val="center"/>
          </w:tcPr>
          <w:p>
            <w:pPr>
              <w:jc w:val="center"/>
              <w:rPr>
                <w:rFonts w:hint="eastAsia" w:asciiTheme="minorEastAsia" w:hAnsiTheme="minorEastAsia"/>
                <w:szCs w:val="21"/>
              </w:rPr>
            </w:pPr>
            <w:r>
              <w:rPr>
                <w:rFonts w:hint="eastAsia" w:asciiTheme="minorEastAsia" w:hAnsiTheme="minorEastAsia"/>
                <w:szCs w:val="21"/>
                <w:lang w:val="en-US" w:eastAsia="zh-CN"/>
              </w:rPr>
              <w:t>10.22</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3</w:t>
            </w:r>
          </w:p>
        </w:tc>
        <w:tc>
          <w:tcPr>
            <w:tcW w:w="3704" w:type="dxa"/>
            <w:vAlign w:val="center"/>
          </w:tcPr>
          <w:p>
            <w:pPr>
              <w:jc w:val="center"/>
              <w:rPr>
                <w:rFonts w:asciiTheme="minorEastAsia" w:hAnsiTheme="minorEastAsia"/>
                <w:szCs w:val="21"/>
              </w:rPr>
            </w:pPr>
            <w:r>
              <w:t>合计</w:t>
            </w:r>
          </w:p>
        </w:tc>
        <w:tc>
          <w:tcPr>
            <w:tcW w:w="2415" w:type="dxa"/>
            <w:vAlign w:val="center"/>
          </w:tcPr>
          <w:p>
            <w:pPr>
              <w:jc w:val="center"/>
              <w:rPr>
                <w:rFonts w:hint="eastAsia" w:asciiTheme="minorEastAsia" w:hAnsiTheme="minorEastAsia"/>
                <w:szCs w:val="21"/>
              </w:rPr>
            </w:pPr>
            <w:r>
              <w:rPr>
                <w:rFonts w:hint="eastAsia" w:asciiTheme="minorEastAsia" w:hAnsiTheme="minorEastAsia"/>
                <w:szCs w:val="21"/>
              </w:rPr>
              <w:t>1,023,310,421.18</w:t>
            </w:r>
          </w:p>
        </w:tc>
        <w:tc>
          <w:tcPr>
            <w:tcW w:w="1500" w:type="dxa"/>
            <w:vAlign w:val="center"/>
          </w:tcPr>
          <w:p>
            <w:pPr>
              <w:jc w:val="center"/>
              <w:rPr>
                <w:rFonts w:hint="eastAsia" w:asciiTheme="minorEastAsia" w:hAnsiTheme="minorEastAsia"/>
                <w:szCs w:val="21"/>
              </w:rPr>
            </w:pPr>
            <w:r>
              <w:rPr>
                <w:rFonts w:hint="eastAsia" w:asciiTheme="minorEastAsia" w:hAnsiTheme="minorEastAsia"/>
                <w:szCs w:val="21"/>
              </w:rPr>
              <w:t>100.00%</w:t>
            </w:r>
          </w:p>
        </w:tc>
      </w:tr>
    </w:tbl>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jc w:val="center"/>
            </w:pPr>
            <w:r>
              <w:t>序号</w:t>
            </w:r>
          </w:p>
        </w:tc>
        <w:tc>
          <w:tcPr>
            <w:tcW w:w="2835" w:type="dxa"/>
          </w:tcPr>
          <w:p>
            <w:pPr>
              <w:jc w:val="center"/>
              <w:rPr>
                <w:rFonts w:hint="eastAsia"/>
                <w:lang w:eastAsia="zh-CN"/>
              </w:rPr>
            </w:pPr>
            <w:r>
              <w:rPr>
                <w:rFonts w:hint="eastAsia"/>
                <w:lang w:val="en-US" w:eastAsia="zh-CN"/>
              </w:rPr>
              <w:t>项目</w:t>
            </w:r>
          </w:p>
        </w:tc>
        <w:tc>
          <w:tcPr>
            <w:tcW w:w="1843" w:type="dxa"/>
          </w:tcPr>
          <w:p>
            <w:pPr>
              <w:jc w:val="center"/>
            </w:pPr>
            <w:r>
              <w:t>金额</w:t>
            </w:r>
          </w:p>
        </w:tc>
        <w:tc>
          <w:tcPr>
            <w:tcW w:w="2914" w:type="dxa"/>
          </w:tcPr>
          <w:p>
            <w:pPr>
              <w:jc w:val="center"/>
            </w:pPr>
            <w:r>
              <w:rPr>
                <w:rFonts w:hint="eastAsia"/>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jc w:val="center"/>
              <w:rPr>
                <w:lang w:val="en-US" w:eastAsia="zh-CN"/>
              </w:rPr>
            </w:pPr>
            <w:r>
              <w:rPr>
                <w:rFonts w:hint="eastAsia"/>
              </w:rPr>
              <w:t>1</w:t>
            </w:r>
          </w:p>
        </w:tc>
        <w:tc>
          <w:tcPr>
            <w:tcW w:w="2835" w:type="dxa"/>
            <w:vAlign w:val="top"/>
          </w:tcPr>
          <w:p>
            <w:pPr>
              <w:jc w:val="center"/>
              <w:rPr>
                <w:rFonts w:hint="eastAsia" w:asciiTheme="minorEastAsia" w:hAnsiTheme="minorEastAsia"/>
                <w:szCs w:val="21"/>
                <w:lang w:val="en-US" w:eastAsia="zh-CN"/>
              </w:rPr>
            </w:pPr>
            <w:r>
              <w:rPr>
                <w:rFonts w:hint="eastAsia" w:asciiTheme="minorEastAsia" w:hAnsiTheme="minorEastAsia"/>
                <w:szCs w:val="21"/>
              </w:rPr>
              <w:t>报告期末债券回购融资余额</w:t>
            </w:r>
          </w:p>
        </w:tc>
        <w:tc>
          <w:tcPr>
            <w:tcW w:w="1843" w:type="dxa"/>
            <w:vAlign w:val="top"/>
          </w:tcPr>
          <w:p>
            <w:pPr>
              <w:jc w:val="center"/>
              <w:rPr>
                <w:rFonts w:hint="eastAsia" w:asciiTheme="minorEastAsia" w:hAnsiTheme="minorEastAsia"/>
                <w:szCs w:val="21"/>
                <w:lang w:val="en-US" w:eastAsia="zh-CN"/>
              </w:rPr>
            </w:pPr>
            <w:r>
              <w:rPr>
                <w:rFonts w:hint="eastAsia" w:asciiTheme="minorEastAsia" w:hAnsiTheme="minorEastAsia"/>
                <w:szCs w:val="21"/>
              </w:rPr>
              <w:t>0</w:t>
            </w:r>
          </w:p>
        </w:tc>
        <w:tc>
          <w:tcPr>
            <w:tcW w:w="2914" w:type="dxa"/>
            <w:vAlign w:val="top"/>
          </w:tcPr>
          <w:p>
            <w:pPr>
              <w:jc w:val="center"/>
              <w:rPr>
                <w:rFonts w:hint="eastAsia" w:asciiTheme="minorEastAsia" w:hAnsiTheme="minorEastAsia"/>
                <w:szCs w:val="21"/>
                <w:lang w:val="en-US" w:eastAsia="zh-CN"/>
              </w:rPr>
            </w:pPr>
            <w:r>
              <w:rPr>
                <w:rFonts w:hint="eastAsia" w:asciiTheme="minorEastAsia" w:hAnsiTheme="minorEastAsia"/>
                <w:szCs w:val="21"/>
              </w:rPr>
              <w:t>0.00%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hint="eastAsia" w:asciiTheme="minorEastAsia" w:hAnsiTheme="minorEastAsia"/>
          <w:szCs w:val="21"/>
        </w:rPr>
      </w:pPr>
      <w:r>
        <w:rPr>
          <w:rFonts w:hint="eastAsia" w:asciiTheme="minorEastAsia" w:hAnsiTheme="minorEastAsia"/>
          <w:szCs w:val="21"/>
        </w:rPr>
        <w:t>截至2020年06月30日，本产品持仓前十项资产明细如下：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348"/>
        <w:gridCol w:w="214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序号</w:t>
            </w:r>
          </w:p>
        </w:tc>
        <w:tc>
          <w:tcPr>
            <w:tcW w:w="4348" w:type="dxa"/>
            <w:vAlign w:val="center"/>
          </w:tcPr>
          <w:p>
            <w:pPr>
              <w:jc w:val="center"/>
              <w:rPr>
                <w:rFonts w:hint="eastAsia" w:asciiTheme="minorEastAsia" w:hAnsiTheme="minorEastAsia"/>
                <w:szCs w:val="21"/>
              </w:rPr>
            </w:pPr>
            <w:r>
              <w:rPr>
                <w:rFonts w:hint="eastAsia" w:asciiTheme="minorEastAsia" w:hAnsiTheme="minorEastAsia"/>
                <w:szCs w:val="21"/>
              </w:rPr>
              <w:t>资产名称</w:t>
            </w:r>
          </w:p>
        </w:tc>
        <w:tc>
          <w:tcPr>
            <w:tcW w:w="2145" w:type="dxa"/>
            <w:vAlign w:val="center"/>
          </w:tcPr>
          <w:p>
            <w:pPr>
              <w:jc w:val="center"/>
              <w:rPr>
                <w:rFonts w:hint="eastAsia" w:asciiTheme="minorEastAsia" w:hAnsiTheme="minorEastAsia"/>
                <w:szCs w:val="21"/>
              </w:rPr>
            </w:pPr>
            <w:r>
              <w:rPr>
                <w:rFonts w:hint="eastAsia" w:asciiTheme="minorEastAsia" w:hAnsiTheme="minorEastAsia"/>
                <w:szCs w:val="21"/>
              </w:rPr>
              <w:t>金额</w:t>
            </w:r>
          </w:p>
        </w:tc>
        <w:tc>
          <w:tcPr>
            <w:tcW w:w="1200" w:type="dxa"/>
            <w:vAlign w:val="center"/>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1</w:t>
            </w:r>
          </w:p>
        </w:tc>
        <w:tc>
          <w:tcPr>
            <w:tcW w:w="434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rPr>
              <w:t>奇瑞徽银汽车金融股份有限公司</w:t>
            </w:r>
            <w:r>
              <w:rPr>
                <w:rFonts w:hint="eastAsia" w:asciiTheme="minorEastAsia" w:hAnsiTheme="minorEastAsia"/>
                <w:szCs w:val="21"/>
                <w:lang w:val="en-US" w:eastAsia="zh-CN"/>
              </w:rPr>
              <w:t>同业借款</w:t>
            </w:r>
          </w:p>
        </w:tc>
        <w:tc>
          <w:tcPr>
            <w:tcW w:w="2145" w:type="dxa"/>
            <w:vAlign w:val="center"/>
          </w:tcPr>
          <w:p>
            <w:pPr>
              <w:jc w:val="center"/>
              <w:rPr>
                <w:rFonts w:hint="eastAsia" w:asciiTheme="minorEastAsia" w:hAnsiTheme="minorEastAsia"/>
                <w:szCs w:val="21"/>
              </w:rPr>
            </w:pPr>
            <w:r>
              <w:rPr>
                <w:rFonts w:hint="eastAsia" w:asciiTheme="minorEastAsia" w:hAnsiTheme="minorEastAsia"/>
                <w:szCs w:val="21"/>
              </w:rPr>
              <w:t>101,890,000.00</w:t>
            </w:r>
          </w:p>
        </w:tc>
        <w:tc>
          <w:tcPr>
            <w:tcW w:w="1200" w:type="dxa"/>
            <w:vAlign w:val="center"/>
          </w:tcPr>
          <w:p>
            <w:pPr>
              <w:jc w:val="center"/>
              <w:rPr>
                <w:rFonts w:hint="eastAsia" w:asciiTheme="minorEastAsia" w:hAnsiTheme="minorEastAsia"/>
                <w:szCs w:val="21"/>
              </w:rPr>
            </w:pPr>
            <w:r>
              <w:rPr>
                <w:rFonts w:hint="eastAsia" w:asciiTheme="minorEastAsia" w:hAnsiTheme="minorEastAsia"/>
                <w:szCs w:val="21"/>
              </w:rPr>
              <w:t>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2</w:t>
            </w:r>
          </w:p>
        </w:tc>
        <w:tc>
          <w:tcPr>
            <w:tcW w:w="4348" w:type="dxa"/>
            <w:vAlign w:val="center"/>
          </w:tcPr>
          <w:p>
            <w:pPr>
              <w:jc w:val="center"/>
              <w:rPr>
                <w:rFonts w:hint="eastAsia" w:asciiTheme="minorEastAsia" w:hAnsiTheme="minorEastAsia"/>
                <w:szCs w:val="21"/>
              </w:rPr>
            </w:pPr>
            <w:r>
              <w:rPr>
                <w:rFonts w:hint="eastAsia" w:asciiTheme="minorEastAsia" w:hAnsiTheme="minorEastAsia"/>
                <w:szCs w:val="21"/>
              </w:rPr>
              <w:t>17湘岳阳城建ZR002</w:t>
            </w:r>
          </w:p>
        </w:tc>
        <w:tc>
          <w:tcPr>
            <w:tcW w:w="2145" w:type="dxa"/>
            <w:vAlign w:val="center"/>
          </w:tcPr>
          <w:p>
            <w:pPr>
              <w:jc w:val="center"/>
              <w:rPr>
                <w:rFonts w:hint="eastAsia" w:asciiTheme="minorEastAsia" w:hAnsiTheme="minorEastAsia"/>
                <w:szCs w:val="21"/>
              </w:rPr>
            </w:pPr>
            <w:r>
              <w:rPr>
                <w:rFonts w:hint="eastAsia" w:asciiTheme="minorEastAsia" w:hAnsiTheme="minorEastAsia"/>
                <w:szCs w:val="21"/>
              </w:rPr>
              <w:t>93,950,409.84</w:t>
            </w:r>
          </w:p>
        </w:tc>
        <w:tc>
          <w:tcPr>
            <w:tcW w:w="1200" w:type="dxa"/>
            <w:vAlign w:val="center"/>
          </w:tcPr>
          <w:p>
            <w:pPr>
              <w:jc w:val="center"/>
              <w:rPr>
                <w:rFonts w:hint="eastAsia" w:asciiTheme="minorEastAsia" w:hAnsiTheme="minorEastAsia"/>
                <w:szCs w:val="21"/>
              </w:rPr>
            </w:pPr>
            <w:r>
              <w:rPr>
                <w:rFonts w:hint="eastAsia" w:asciiTheme="minorEastAsia" w:hAnsiTheme="minorEastAsia"/>
                <w:szCs w:val="21"/>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3</w:t>
            </w:r>
          </w:p>
        </w:tc>
        <w:tc>
          <w:tcPr>
            <w:tcW w:w="4348" w:type="dxa"/>
            <w:vAlign w:val="center"/>
          </w:tcPr>
          <w:p>
            <w:pPr>
              <w:jc w:val="center"/>
              <w:rPr>
                <w:rFonts w:hint="eastAsia" w:asciiTheme="minorEastAsia" w:hAnsiTheme="minorEastAsia"/>
                <w:szCs w:val="21"/>
              </w:rPr>
            </w:pPr>
            <w:r>
              <w:rPr>
                <w:rFonts w:hint="eastAsia" w:asciiTheme="minorEastAsia" w:hAnsiTheme="minorEastAsia"/>
                <w:szCs w:val="21"/>
              </w:rPr>
              <w:t>18珞璜开发PPN001</w:t>
            </w:r>
          </w:p>
        </w:tc>
        <w:tc>
          <w:tcPr>
            <w:tcW w:w="2145" w:type="dxa"/>
            <w:vAlign w:val="center"/>
          </w:tcPr>
          <w:p>
            <w:pPr>
              <w:jc w:val="center"/>
              <w:rPr>
                <w:rFonts w:hint="eastAsia" w:asciiTheme="minorEastAsia" w:hAnsiTheme="minorEastAsia"/>
                <w:szCs w:val="21"/>
              </w:rPr>
            </w:pPr>
            <w:r>
              <w:rPr>
                <w:rFonts w:hint="eastAsia" w:asciiTheme="minorEastAsia" w:hAnsiTheme="minorEastAsia"/>
                <w:szCs w:val="21"/>
              </w:rPr>
              <w:t>93,859,672.13</w:t>
            </w:r>
          </w:p>
        </w:tc>
        <w:tc>
          <w:tcPr>
            <w:tcW w:w="1200" w:type="dxa"/>
            <w:vAlign w:val="center"/>
          </w:tcPr>
          <w:p>
            <w:pPr>
              <w:jc w:val="center"/>
              <w:rPr>
                <w:rFonts w:hint="eastAsia" w:asciiTheme="minorEastAsia" w:hAnsiTheme="minorEastAsia"/>
                <w:szCs w:val="21"/>
              </w:rPr>
            </w:pPr>
            <w:r>
              <w:rPr>
                <w:rFonts w:hint="eastAsia" w:asciiTheme="minorEastAsia" w:hAnsiTheme="minorEastAsia"/>
                <w:szCs w:val="21"/>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4</w:t>
            </w:r>
          </w:p>
        </w:tc>
        <w:tc>
          <w:tcPr>
            <w:tcW w:w="4348" w:type="dxa"/>
            <w:vAlign w:val="center"/>
          </w:tcPr>
          <w:p>
            <w:pPr>
              <w:jc w:val="center"/>
              <w:rPr>
                <w:rFonts w:hint="eastAsia" w:asciiTheme="minorEastAsia" w:hAnsiTheme="minorEastAsia"/>
                <w:szCs w:val="21"/>
              </w:rPr>
            </w:pPr>
            <w:r>
              <w:rPr>
                <w:rFonts w:hint="eastAsia" w:asciiTheme="minorEastAsia" w:hAnsiTheme="minorEastAsia"/>
                <w:szCs w:val="21"/>
              </w:rPr>
              <w:t>17珞璜开发PPN003</w:t>
            </w:r>
          </w:p>
        </w:tc>
        <w:tc>
          <w:tcPr>
            <w:tcW w:w="2145" w:type="dxa"/>
            <w:vAlign w:val="center"/>
          </w:tcPr>
          <w:p>
            <w:pPr>
              <w:jc w:val="center"/>
              <w:rPr>
                <w:rFonts w:hint="eastAsia" w:asciiTheme="minorEastAsia" w:hAnsiTheme="minorEastAsia"/>
                <w:szCs w:val="21"/>
              </w:rPr>
            </w:pPr>
            <w:r>
              <w:rPr>
                <w:rFonts w:hint="eastAsia" w:asciiTheme="minorEastAsia" w:hAnsiTheme="minorEastAsia"/>
                <w:szCs w:val="21"/>
              </w:rPr>
              <w:t>92,174,819.67</w:t>
            </w:r>
          </w:p>
        </w:tc>
        <w:tc>
          <w:tcPr>
            <w:tcW w:w="1200" w:type="dxa"/>
            <w:vAlign w:val="center"/>
          </w:tcPr>
          <w:p>
            <w:pPr>
              <w:jc w:val="center"/>
              <w:rPr>
                <w:rFonts w:hint="eastAsia" w:asciiTheme="minorEastAsia" w:hAnsiTheme="minorEastAsia"/>
                <w:szCs w:val="21"/>
              </w:rPr>
            </w:pPr>
            <w:r>
              <w:rPr>
                <w:rFonts w:hint="eastAsia" w:asciiTheme="minorEastAsia" w:hAnsiTheme="minorEastAsia"/>
                <w:szCs w:val="21"/>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5</w:t>
            </w:r>
          </w:p>
        </w:tc>
        <w:tc>
          <w:tcPr>
            <w:tcW w:w="4348" w:type="dxa"/>
            <w:vAlign w:val="center"/>
          </w:tcPr>
          <w:p>
            <w:pPr>
              <w:jc w:val="center"/>
              <w:rPr>
                <w:rFonts w:hint="eastAsia" w:asciiTheme="minorEastAsia" w:hAnsiTheme="minorEastAsia"/>
                <w:szCs w:val="21"/>
              </w:rPr>
            </w:pPr>
            <w:r>
              <w:rPr>
                <w:rFonts w:hint="eastAsia" w:asciiTheme="minorEastAsia" w:hAnsiTheme="minorEastAsia"/>
                <w:szCs w:val="21"/>
              </w:rPr>
              <w:t>18康达环保PPN001</w:t>
            </w:r>
          </w:p>
        </w:tc>
        <w:tc>
          <w:tcPr>
            <w:tcW w:w="2145" w:type="dxa"/>
            <w:vAlign w:val="center"/>
          </w:tcPr>
          <w:p>
            <w:pPr>
              <w:jc w:val="center"/>
              <w:rPr>
                <w:rFonts w:hint="eastAsia" w:asciiTheme="minorEastAsia" w:hAnsiTheme="minorEastAsia"/>
                <w:szCs w:val="21"/>
              </w:rPr>
            </w:pPr>
            <w:r>
              <w:rPr>
                <w:rFonts w:hint="eastAsia" w:asciiTheme="minorEastAsia" w:hAnsiTheme="minorEastAsia"/>
                <w:szCs w:val="21"/>
              </w:rPr>
              <w:t>90,332,876.71</w:t>
            </w:r>
          </w:p>
        </w:tc>
        <w:tc>
          <w:tcPr>
            <w:tcW w:w="1200" w:type="dxa"/>
            <w:vAlign w:val="center"/>
          </w:tcPr>
          <w:p>
            <w:pPr>
              <w:jc w:val="center"/>
              <w:rPr>
                <w:rFonts w:hint="eastAsia" w:asciiTheme="minorEastAsia" w:hAnsiTheme="minorEastAsia"/>
                <w:szCs w:val="21"/>
              </w:rPr>
            </w:pPr>
            <w:r>
              <w:rPr>
                <w:rFonts w:hint="eastAsia" w:asciiTheme="minorEastAsia" w:hAnsiTheme="minorEastAsia"/>
                <w:szCs w:val="21"/>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6</w:t>
            </w:r>
          </w:p>
        </w:tc>
        <w:tc>
          <w:tcPr>
            <w:tcW w:w="4348" w:type="dxa"/>
            <w:vAlign w:val="center"/>
          </w:tcPr>
          <w:p>
            <w:pPr>
              <w:jc w:val="center"/>
              <w:rPr>
                <w:rFonts w:hint="eastAsia" w:asciiTheme="minorEastAsia" w:hAnsiTheme="minorEastAsia"/>
                <w:szCs w:val="21"/>
              </w:rPr>
            </w:pPr>
            <w:r>
              <w:rPr>
                <w:rFonts w:hint="eastAsia" w:asciiTheme="minorEastAsia" w:hAnsiTheme="minorEastAsia"/>
                <w:szCs w:val="21"/>
              </w:rPr>
              <w:t>17渝长寿开投ZR001</w:t>
            </w:r>
          </w:p>
        </w:tc>
        <w:tc>
          <w:tcPr>
            <w:tcW w:w="2145" w:type="dxa"/>
            <w:vAlign w:val="center"/>
          </w:tcPr>
          <w:p>
            <w:pPr>
              <w:jc w:val="center"/>
              <w:rPr>
                <w:rFonts w:hint="eastAsia" w:asciiTheme="minorEastAsia" w:hAnsiTheme="minorEastAsia"/>
                <w:szCs w:val="21"/>
              </w:rPr>
            </w:pPr>
            <w:r>
              <w:rPr>
                <w:rFonts w:hint="eastAsia" w:asciiTheme="minorEastAsia" w:hAnsiTheme="minorEastAsia"/>
                <w:szCs w:val="21"/>
              </w:rPr>
              <w:t>78,370,389.34</w:t>
            </w:r>
          </w:p>
        </w:tc>
        <w:tc>
          <w:tcPr>
            <w:tcW w:w="1200" w:type="dxa"/>
            <w:vAlign w:val="center"/>
          </w:tcPr>
          <w:p>
            <w:pPr>
              <w:jc w:val="center"/>
              <w:rPr>
                <w:rFonts w:hint="eastAsia" w:asciiTheme="minorEastAsia" w:hAnsiTheme="minorEastAsia"/>
                <w:szCs w:val="21"/>
              </w:rPr>
            </w:pPr>
            <w:r>
              <w:rPr>
                <w:rFonts w:hint="eastAsia" w:asciiTheme="minorEastAsia" w:hAnsiTheme="minorEastAsia"/>
                <w:szCs w:val="21"/>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7</w:t>
            </w:r>
          </w:p>
        </w:tc>
        <w:tc>
          <w:tcPr>
            <w:tcW w:w="4348" w:type="dxa"/>
            <w:vAlign w:val="center"/>
          </w:tcPr>
          <w:p>
            <w:pPr>
              <w:jc w:val="center"/>
              <w:rPr>
                <w:rFonts w:hint="eastAsia" w:asciiTheme="minorEastAsia" w:hAnsiTheme="minorEastAsia"/>
                <w:szCs w:val="21"/>
              </w:rPr>
            </w:pPr>
            <w:r>
              <w:rPr>
                <w:rFonts w:hint="eastAsia" w:asciiTheme="minorEastAsia" w:hAnsiTheme="minorEastAsia"/>
                <w:szCs w:val="21"/>
              </w:rPr>
              <w:t>20郑州银行CD097</w:t>
            </w:r>
          </w:p>
        </w:tc>
        <w:tc>
          <w:tcPr>
            <w:tcW w:w="2145" w:type="dxa"/>
            <w:vAlign w:val="center"/>
          </w:tcPr>
          <w:p>
            <w:pPr>
              <w:jc w:val="center"/>
              <w:rPr>
                <w:rFonts w:hint="eastAsia" w:asciiTheme="minorEastAsia" w:hAnsiTheme="minorEastAsia"/>
                <w:szCs w:val="21"/>
              </w:rPr>
            </w:pPr>
            <w:r>
              <w:rPr>
                <w:rFonts w:hint="eastAsia" w:asciiTheme="minorEastAsia" w:hAnsiTheme="minorEastAsia"/>
                <w:szCs w:val="21"/>
              </w:rPr>
              <w:t>78,128,040.58</w:t>
            </w:r>
          </w:p>
        </w:tc>
        <w:tc>
          <w:tcPr>
            <w:tcW w:w="1200" w:type="dxa"/>
            <w:vAlign w:val="center"/>
          </w:tcPr>
          <w:p>
            <w:pPr>
              <w:jc w:val="center"/>
              <w:rPr>
                <w:rFonts w:hint="eastAsia" w:asciiTheme="minorEastAsia" w:hAnsiTheme="minorEastAsia"/>
                <w:szCs w:val="21"/>
              </w:rPr>
            </w:pPr>
            <w:r>
              <w:rPr>
                <w:rFonts w:hint="eastAsia" w:asciiTheme="minorEastAsia" w:hAnsiTheme="minorEastAsia"/>
                <w:szCs w:val="21"/>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8</w:t>
            </w:r>
          </w:p>
        </w:tc>
        <w:tc>
          <w:tcPr>
            <w:tcW w:w="4348" w:type="dxa"/>
            <w:vAlign w:val="center"/>
          </w:tcPr>
          <w:p>
            <w:pPr>
              <w:jc w:val="center"/>
              <w:rPr>
                <w:rFonts w:hint="eastAsia" w:asciiTheme="minorEastAsia" w:hAnsiTheme="minorEastAsia"/>
                <w:szCs w:val="21"/>
              </w:rPr>
            </w:pPr>
            <w:r>
              <w:rPr>
                <w:rFonts w:hint="eastAsia" w:asciiTheme="minorEastAsia" w:hAnsiTheme="minorEastAsia"/>
                <w:szCs w:val="21"/>
              </w:rPr>
              <w:t>18九龙园PPN003</w:t>
            </w:r>
          </w:p>
        </w:tc>
        <w:tc>
          <w:tcPr>
            <w:tcW w:w="2145" w:type="dxa"/>
            <w:vAlign w:val="center"/>
          </w:tcPr>
          <w:p>
            <w:pPr>
              <w:jc w:val="center"/>
              <w:rPr>
                <w:rFonts w:hint="eastAsia" w:asciiTheme="minorEastAsia" w:hAnsiTheme="minorEastAsia"/>
                <w:szCs w:val="21"/>
              </w:rPr>
            </w:pPr>
            <w:r>
              <w:rPr>
                <w:rFonts w:hint="eastAsia" w:asciiTheme="minorEastAsia" w:hAnsiTheme="minorEastAsia"/>
                <w:szCs w:val="21"/>
              </w:rPr>
              <w:t>72,711,065.57</w:t>
            </w:r>
          </w:p>
        </w:tc>
        <w:tc>
          <w:tcPr>
            <w:tcW w:w="1200" w:type="dxa"/>
            <w:vAlign w:val="center"/>
          </w:tcPr>
          <w:p>
            <w:pPr>
              <w:jc w:val="center"/>
              <w:rPr>
                <w:rFonts w:hint="eastAsia" w:asciiTheme="minorEastAsia" w:hAnsiTheme="minorEastAsia"/>
                <w:szCs w:val="21"/>
              </w:rPr>
            </w:pPr>
            <w:r>
              <w:rPr>
                <w:rFonts w:hint="eastAsia" w:asciiTheme="minorEastAsia" w:hAnsiTheme="minorEastAsia"/>
                <w:szCs w:val="21"/>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9</w:t>
            </w:r>
          </w:p>
        </w:tc>
        <w:tc>
          <w:tcPr>
            <w:tcW w:w="4348" w:type="dxa"/>
            <w:vAlign w:val="center"/>
          </w:tcPr>
          <w:p>
            <w:pPr>
              <w:jc w:val="center"/>
              <w:rPr>
                <w:rFonts w:hint="eastAsia" w:asciiTheme="minorEastAsia" w:hAnsiTheme="minorEastAsia"/>
                <w:szCs w:val="21"/>
              </w:rPr>
            </w:pPr>
            <w:r>
              <w:rPr>
                <w:rFonts w:hint="eastAsia" w:asciiTheme="minorEastAsia" w:hAnsiTheme="minorEastAsia"/>
                <w:szCs w:val="21"/>
              </w:rPr>
              <w:t>17渝南州水务ZR001</w:t>
            </w:r>
          </w:p>
        </w:tc>
        <w:tc>
          <w:tcPr>
            <w:tcW w:w="2145" w:type="dxa"/>
            <w:vAlign w:val="center"/>
          </w:tcPr>
          <w:p>
            <w:pPr>
              <w:jc w:val="center"/>
              <w:rPr>
                <w:rFonts w:hint="eastAsia" w:asciiTheme="minorEastAsia" w:hAnsiTheme="minorEastAsia"/>
                <w:szCs w:val="21"/>
              </w:rPr>
            </w:pPr>
            <w:r>
              <w:rPr>
                <w:rFonts w:hint="eastAsia" w:asciiTheme="minorEastAsia" w:hAnsiTheme="minorEastAsia"/>
                <w:szCs w:val="21"/>
              </w:rPr>
              <w:t>42,084,371.58</w:t>
            </w:r>
          </w:p>
        </w:tc>
        <w:tc>
          <w:tcPr>
            <w:tcW w:w="1200" w:type="dxa"/>
            <w:vAlign w:val="center"/>
          </w:tcPr>
          <w:p>
            <w:pPr>
              <w:jc w:val="center"/>
              <w:rPr>
                <w:rFonts w:hint="eastAsia" w:asciiTheme="minorEastAsia" w:hAnsiTheme="minorEastAsia"/>
                <w:szCs w:val="21"/>
              </w:rPr>
            </w:pPr>
            <w:r>
              <w:rPr>
                <w:rFonts w:hint="eastAsia" w:asciiTheme="minorEastAsia" w:hAnsiTheme="minorEastAsia"/>
                <w:szCs w:val="21"/>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pPr>
              <w:jc w:val="center"/>
              <w:rPr>
                <w:rFonts w:hint="eastAsia"/>
                <w:lang w:val="en-US" w:eastAsia="zh-CN"/>
              </w:rPr>
            </w:pPr>
            <w:r>
              <w:rPr>
                <w:rFonts w:hint="eastAsia"/>
                <w:lang w:val="en-US" w:eastAsia="zh-CN"/>
              </w:rPr>
              <w:t>10</w:t>
            </w:r>
          </w:p>
        </w:tc>
        <w:tc>
          <w:tcPr>
            <w:tcW w:w="4348" w:type="dxa"/>
            <w:vAlign w:val="center"/>
          </w:tcPr>
          <w:p>
            <w:pPr>
              <w:jc w:val="center"/>
              <w:rPr>
                <w:rFonts w:hint="eastAsia" w:asciiTheme="minorEastAsia" w:hAnsiTheme="minorEastAsia"/>
                <w:szCs w:val="21"/>
              </w:rPr>
            </w:pPr>
            <w:r>
              <w:rPr>
                <w:rFonts w:hint="eastAsia" w:asciiTheme="minorEastAsia" w:hAnsiTheme="minorEastAsia"/>
                <w:szCs w:val="21"/>
              </w:rPr>
              <w:t>17渝南州水务ZR002</w:t>
            </w:r>
          </w:p>
        </w:tc>
        <w:tc>
          <w:tcPr>
            <w:tcW w:w="2145" w:type="dxa"/>
            <w:vAlign w:val="center"/>
          </w:tcPr>
          <w:p>
            <w:pPr>
              <w:jc w:val="center"/>
              <w:rPr>
                <w:rFonts w:hint="eastAsia" w:asciiTheme="minorEastAsia" w:hAnsiTheme="minorEastAsia"/>
                <w:szCs w:val="21"/>
              </w:rPr>
            </w:pPr>
            <w:r>
              <w:rPr>
                <w:rFonts w:hint="eastAsia" w:asciiTheme="minorEastAsia" w:hAnsiTheme="minorEastAsia"/>
                <w:szCs w:val="21"/>
              </w:rPr>
              <w:t>42,035,409.84</w:t>
            </w:r>
          </w:p>
        </w:tc>
        <w:tc>
          <w:tcPr>
            <w:tcW w:w="1200" w:type="dxa"/>
            <w:vAlign w:val="center"/>
          </w:tcPr>
          <w:p>
            <w:pPr>
              <w:jc w:val="center"/>
              <w:rPr>
                <w:rFonts w:hint="eastAsia" w:asciiTheme="minorEastAsia" w:hAnsiTheme="minorEastAsia"/>
                <w:szCs w:val="21"/>
              </w:rPr>
            </w:pPr>
            <w:r>
              <w:rPr>
                <w:rFonts w:hint="eastAsia" w:asciiTheme="minorEastAsia" w:hAnsiTheme="minorEastAsia"/>
                <w:szCs w:val="21"/>
              </w:rPr>
              <w:t>4.11%</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asciiTheme="minorEastAsia" w:hAnsiTheme="minorEastAsia"/>
          <w:b/>
          <w:szCs w:val="21"/>
        </w:rPr>
      </w:pPr>
    </w:p>
    <w:bookmarkEnd w:id="0"/>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315" w:firstLineChars="150"/>
        <w:rPr>
          <w:rFonts w:asciiTheme="minorEastAsia" w:hAnsiTheme="minorEastAsia"/>
          <w:szCs w:val="21"/>
        </w:rPr>
      </w:pPr>
    </w:p>
    <w:p>
      <w:pPr>
        <w:spacing w:line="480" w:lineRule="exact"/>
        <w:ind w:firstLine="5040" w:firstLineChars="24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6090" w:firstLineChars="2900"/>
        <w:jc w:val="both"/>
        <w:rPr>
          <w:rFonts w:hint="eastAsia" w:eastAsiaTheme="minorEastAsia"/>
          <w:lang w:eastAsia="zh-CN"/>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月15日</w:t>
      </w:r>
      <w:bookmarkStart w:id="1" w:name="_GoBack"/>
      <w:bookmarkEnd w:id="1"/>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38E5875"/>
    <w:rsid w:val="046451CE"/>
    <w:rsid w:val="07D87128"/>
    <w:rsid w:val="07DB680E"/>
    <w:rsid w:val="08613963"/>
    <w:rsid w:val="092D14CE"/>
    <w:rsid w:val="093B50DC"/>
    <w:rsid w:val="09563133"/>
    <w:rsid w:val="0AAC39CB"/>
    <w:rsid w:val="0BD02B2A"/>
    <w:rsid w:val="0FC53136"/>
    <w:rsid w:val="109116D6"/>
    <w:rsid w:val="12413345"/>
    <w:rsid w:val="12931977"/>
    <w:rsid w:val="13814A1B"/>
    <w:rsid w:val="1441580E"/>
    <w:rsid w:val="145B1C45"/>
    <w:rsid w:val="154F13DA"/>
    <w:rsid w:val="176354A6"/>
    <w:rsid w:val="182721AC"/>
    <w:rsid w:val="197D5ABF"/>
    <w:rsid w:val="19A54864"/>
    <w:rsid w:val="1BDE0CAD"/>
    <w:rsid w:val="1C760FBE"/>
    <w:rsid w:val="1DC508E2"/>
    <w:rsid w:val="1FF23D36"/>
    <w:rsid w:val="21ED676D"/>
    <w:rsid w:val="2350060C"/>
    <w:rsid w:val="25E358EE"/>
    <w:rsid w:val="26FD1903"/>
    <w:rsid w:val="27BD45FF"/>
    <w:rsid w:val="28A0473E"/>
    <w:rsid w:val="29DA3D49"/>
    <w:rsid w:val="2A0F4201"/>
    <w:rsid w:val="2AEB1E5A"/>
    <w:rsid w:val="2BF7283C"/>
    <w:rsid w:val="2FF34915"/>
    <w:rsid w:val="328522BE"/>
    <w:rsid w:val="331E4C1A"/>
    <w:rsid w:val="335601C3"/>
    <w:rsid w:val="33F54821"/>
    <w:rsid w:val="35DB54D6"/>
    <w:rsid w:val="37B114AF"/>
    <w:rsid w:val="39BA6599"/>
    <w:rsid w:val="3AB63385"/>
    <w:rsid w:val="3BBA67CE"/>
    <w:rsid w:val="3D575609"/>
    <w:rsid w:val="3E2835B7"/>
    <w:rsid w:val="3EBE3EFC"/>
    <w:rsid w:val="3F8F41A0"/>
    <w:rsid w:val="422B2661"/>
    <w:rsid w:val="42982300"/>
    <w:rsid w:val="43250476"/>
    <w:rsid w:val="472D2614"/>
    <w:rsid w:val="49343EE8"/>
    <w:rsid w:val="4B1E5A56"/>
    <w:rsid w:val="4D8B22F1"/>
    <w:rsid w:val="4E6C5390"/>
    <w:rsid w:val="4E936CC5"/>
    <w:rsid w:val="4F05414C"/>
    <w:rsid w:val="500C0CDE"/>
    <w:rsid w:val="51EC6135"/>
    <w:rsid w:val="572F2943"/>
    <w:rsid w:val="57D83C46"/>
    <w:rsid w:val="586214C2"/>
    <w:rsid w:val="5A622306"/>
    <w:rsid w:val="5AB01723"/>
    <w:rsid w:val="5D5E2859"/>
    <w:rsid w:val="5D8B4F22"/>
    <w:rsid w:val="621F0476"/>
    <w:rsid w:val="63D37DC1"/>
    <w:rsid w:val="671D7CC1"/>
    <w:rsid w:val="68561BEA"/>
    <w:rsid w:val="687C70C4"/>
    <w:rsid w:val="69074462"/>
    <w:rsid w:val="6C9B0C01"/>
    <w:rsid w:val="6D635CC3"/>
    <w:rsid w:val="6E546A74"/>
    <w:rsid w:val="6FA67F07"/>
    <w:rsid w:val="75736568"/>
    <w:rsid w:val="769537A5"/>
    <w:rsid w:val="773E6275"/>
    <w:rsid w:val="784D2B74"/>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14</TotalTime>
  <ScaleCrop>false</ScaleCrop>
  <LinksUpToDate>false</LinksUpToDate>
  <CharactersWithSpaces>660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lulu</cp:lastModifiedBy>
  <cp:lastPrinted>2020-07-15T02:02:00Z</cp:lastPrinted>
  <dcterms:modified xsi:type="dcterms:W3CDTF">2020-07-21T08:13:45Z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