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31</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12020031GFJ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999,600,000.00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2021年6月18日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1,030,633,499.75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1.0310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1,038,520,837.68</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620,446,624.27</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125,811,801.61</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292,262,411.80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tbl>
      <w:tblPr>
        <w:tblStyle w:val="20"/>
        <w:tblW w:w="832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880"/>
        <w:gridCol w:w="1638"/>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880"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638"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3042" w:type="dxa"/>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880"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38"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42"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875"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4068"/>
        <w:gridCol w:w="215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447"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奇瑞徽银汽车金融股份有限公司同业借款</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103,270,000.00</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18珞璜开发PPN001</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95,488,524.59</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17湘岳阳城建ZR002</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95,375,655.74</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17珞璜开发PPN003</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93,696,087.43</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18康达环保PPN001</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92,034,246.58</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17渝长寿开投ZR001</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79,586,372.95</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20郑州银行CD097</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78,615,812.43</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18九龙园PPN003</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74,030,737.70</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17川新益州城建ZR001</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42,669,289.62</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44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19淮安开发PPN001</w:t>
            </w:r>
          </w:p>
        </w:tc>
        <w:tc>
          <w:tcPr>
            <w:tcW w:w="12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38,732,327.87</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4998" w:type="pct"/>
        <w:tblInd w:w="0" w:type="dxa"/>
        <w:shd w:val="clear" w:color="auto" w:fill="auto"/>
        <w:tblLayout w:type="autofit"/>
        <w:tblCellMar>
          <w:top w:w="0" w:type="dxa"/>
          <w:left w:w="0" w:type="dxa"/>
          <w:bottom w:w="0" w:type="dxa"/>
          <w:right w:w="0" w:type="dxa"/>
        </w:tblCellMar>
      </w:tblPr>
      <w:tblGrid>
        <w:gridCol w:w="469"/>
        <w:gridCol w:w="2746"/>
        <w:gridCol w:w="1578"/>
        <w:gridCol w:w="1306"/>
        <w:gridCol w:w="1031"/>
        <w:gridCol w:w="1203"/>
      </w:tblGrid>
      <w:tr>
        <w:tblPrEx>
          <w:tblCellMar>
            <w:top w:w="0" w:type="dxa"/>
            <w:left w:w="0" w:type="dxa"/>
            <w:bottom w:w="0" w:type="dxa"/>
            <w:right w:w="0" w:type="dxa"/>
          </w:tblCellMar>
        </w:tblPrEx>
        <w:trPr>
          <w:trHeight w:val="465" w:hRule="atLeast"/>
        </w:trPr>
        <w:tc>
          <w:tcPr>
            <w:tcW w:w="28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6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9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8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1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72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28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1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015"/>
        <w:gridCol w:w="1017"/>
        <w:gridCol w:w="1026"/>
        <w:gridCol w:w="1017"/>
        <w:gridCol w:w="1570"/>
        <w:gridCol w:w="11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0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w:t>
            </w:r>
          </w:p>
        </w:tc>
        <w:tc>
          <w:tcPr>
            <w:tcW w:w="93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（元）</w:t>
            </w:r>
          </w:p>
        </w:tc>
        <w:tc>
          <w:tcPr>
            <w:tcW w:w="66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6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0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19如皋沿江PPN002</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031900424</w:t>
            </w:r>
          </w:p>
        </w:tc>
        <w:tc>
          <w:tcPr>
            <w:tcW w:w="60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220000</w:t>
            </w:r>
          </w:p>
        </w:tc>
        <w:tc>
          <w:tcPr>
            <w:tcW w:w="93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23377085.79</w:t>
            </w:r>
          </w:p>
        </w:tc>
        <w:tc>
          <w:tcPr>
            <w:tcW w:w="66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w:t>
            </w:r>
          </w:p>
        </w:tc>
        <w:tc>
          <w:tcPr>
            <w:tcW w:w="66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60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18康达环保PPN001</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0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031800354</w:t>
            </w:r>
          </w:p>
        </w:tc>
        <w:tc>
          <w:tcPr>
            <w:tcW w:w="60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900000</w:t>
            </w:r>
          </w:p>
        </w:tc>
        <w:tc>
          <w:tcPr>
            <w:tcW w:w="93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94739754.10</w:t>
            </w:r>
          </w:p>
        </w:tc>
        <w:tc>
          <w:tcPr>
            <w:tcW w:w="66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w:t>
            </w:r>
            <w:bookmarkStart w:id="1" w:name="_GoBack"/>
            <w:bookmarkEnd w:id="1"/>
            <w:r>
              <w:rPr>
                <w:rFonts w:hint="eastAsia" w:ascii="宋体" w:hAnsi="宋体" w:eastAsia="宋体" w:cs="宋体"/>
                <w:i w:val="0"/>
                <w:color w:val="000000"/>
                <w:kern w:val="0"/>
                <w:sz w:val="18"/>
                <w:szCs w:val="18"/>
                <w:u w:val="none"/>
                <w:lang w:val="en-US" w:eastAsia="zh-CN" w:bidi="ar"/>
              </w:rPr>
              <w:t>银行股份有限公司</w:t>
            </w:r>
          </w:p>
        </w:tc>
        <w:tc>
          <w:tcPr>
            <w:tcW w:w="66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56D608A"/>
    <w:rsid w:val="07DB680E"/>
    <w:rsid w:val="08613963"/>
    <w:rsid w:val="092D14CE"/>
    <w:rsid w:val="09563133"/>
    <w:rsid w:val="0BD02B2A"/>
    <w:rsid w:val="0FC53136"/>
    <w:rsid w:val="109116D6"/>
    <w:rsid w:val="11195567"/>
    <w:rsid w:val="12413345"/>
    <w:rsid w:val="12931977"/>
    <w:rsid w:val="13814A1B"/>
    <w:rsid w:val="1441580E"/>
    <w:rsid w:val="145B1C45"/>
    <w:rsid w:val="154F13DA"/>
    <w:rsid w:val="182721AC"/>
    <w:rsid w:val="197D5ABF"/>
    <w:rsid w:val="19A54864"/>
    <w:rsid w:val="1BDE0CAD"/>
    <w:rsid w:val="1C760FBE"/>
    <w:rsid w:val="1DBC42F1"/>
    <w:rsid w:val="1FF23D36"/>
    <w:rsid w:val="209E0830"/>
    <w:rsid w:val="215D08AE"/>
    <w:rsid w:val="21ED676D"/>
    <w:rsid w:val="2350060C"/>
    <w:rsid w:val="23DC4572"/>
    <w:rsid w:val="25E358EE"/>
    <w:rsid w:val="264266AA"/>
    <w:rsid w:val="26FD1903"/>
    <w:rsid w:val="27BD45FF"/>
    <w:rsid w:val="292977E7"/>
    <w:rsid w:val="29DA3D49"/>
    <w:rsid w:val="2A0F4201"/>
    <w:rsid w:val="2AEB1E5A"/>
    <w:rsid w:val="2DC16CEC"/>
    <w:rsid w:val="2E770CB6"/>
    <w:rsid w:val="2FF34915"/>
    <w:rsid w:val="328522BE"/>
    <w:rsid w:val="331E4C1A"/>
    <w:rsid w:val="335601C3"/>
    <w:rsid w:val="33F54821"/>
    <w:rsid w:val="35DB54D6"/>
    <w:rsid w:val="35E1328C"/>
    <w:rsid w:val="37B114AF"/>
    <w:rsid w:val="39BA6599"/>
    <w:rsid w:val="3A21210F"/>
    <w:rsid w:val="3C0D2C0D"/>
    <w:rsid w:val="3CC81CEF"/>
    <w:rsid w:val="3E2835B7"/>
    <w:rsid w:val="3EBE3EFC"/>
    <w:rsid w:val="422B2661"/>
    <w:rsid w:val="42982300"/>
    <w:rsid w:val="43250476"/>
    <w:rsid w:val="434B7CAC"/>
    <w:rsid w:val="472D2614"/>
    <w:rsid w:val="49343EE8"/>
    <w:rsid w:val="4B1E5A56"/>
    <w:rsid w:val="4B647D7A"/>
    <w:rsid w:val="4D2E3353"/>
    <w:rsid w:val="4E6C5390"/>
    <w:rsid w:val="4EC91FA5"/>
    <w:rsid w:val="4F05414C"/>
    <w:rsid w:val="51EC6135"/>
    <w:rsid w:val="520E4744"/>
    <w:rsid w:val="532F1E9E"/>
    <w:rsid w:val="572F2943"/>
    <w:rsid w:val="57D83C46"/>
    <w:rsid w:val="586214C2"/>
    <w:rsid w:val="5A622306"/>
    <w:rsid w:val="5AB01723"/>
    <w:rsid w:val="5D5E2859"/>
    <w:rsid w:val="5D8B4F22"/>
    <w:rsid w:val="621F0476"/>
    <w:rsid w:val="63D37DC1"/>
    <w:rsid w:val="671D7CC1"/>
    <w:rsid w:val="687C70C4"/>
    <w:rsid w:val="69074462"/>
    <w:rsid w:val="6B592EFF"/>
    <w:rsid w:val="6C607835"/>
    <w:rsid w:val="6C9B0C01"/>
    <w:rsid w:val="6DBA3689"/>
    <w:rsid w:val="6E546A74"/>
    <w:rsid w:val="6ED569AF"/>
    <w:rsid w:val="6FA67F07"/>
    <w:rsid w:val="70487CC9"/>
    <w:rsid w:val="75736568"/>
    <w:rsid w:val="773E6275"/>
    <w:rsid w:val="788C0951"/>
    <w:rsid w:val="79882DEC"/>
    <w:rsid w:val="79FE5971"/>
    <w:rsid w:val="7BA6096B"/>
    <w:rsid w:val="7E881CD4"/>
    <w:rsid w:val="7F3712A3"/>
    <w:rsid w:val="7F51195F"/>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2020-10-28T08:42:00Z</cp:lastPrinted>
  <dcterms:modified xsi:type="dcterms:W3CDTF">2022-01-04T07:36:06Z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