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42</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江渝财富“天添金”2020年第42期公募封闭式净值型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12020042GFJ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w:t>
            </w:r>
            <w:r>
              <w:rPr>
                <w:rFonts w:hint="default" w:ascii="宋体" w:hAnsi="宋体" w:eastAsia="宋体" w:cs="宋体"/>
                <w:i w:val="0"/>
                <w:color w:val="000000"/>
                <w:kern w:val="0"/>
                <w:sz w:val="18"/>
                <w:szCs w:val="18"/>
                <w:u w:val="none"/>
                <w:lang w:val="en-US" w:eastAsia="zh-CN" w:bidi="ar"/>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w:t>
            </w:r>
            <w:r>
              <w:rPr>
                <w:rFonts w:hint="default" w:ascii="宋体" w:hAnsi="宋体" w:eastAsia="宋体" w:cs="宋体"/>
                <w:i w:val="0"/>
                <w:color w:val="000000"/>
                <w:kern w:val="0"/>
                <w:sz w:val="18"/>
                <w:szCs w:val="18"/>
                <w:u w:val="none"/>
                <w:lang w:val="en-US" w:eastAsia="zh-CN" w:bidi="ar"/>
              </w:rPr>
              <w:t>公募</w:t>
            </w:r>
            <w:r>
              <w:rPr>
                <w:rFonts w:hint="eastAsia" w:ascii="宋体" w:hAnsi="宋体" w:eastAsia="宋体" w:cs="宋体"/>
                <w:i w:val="0"/>
                <w:color w:val="000000"/>
                <w:kern w:val="0"/>
                <w:sz w:val="18"/>
                <w:szCs w:val="18"/>
                <w:u w:val="none"/>
                <w:lang w:val="en-US" w:eastAsia="zh-CN" w:bidi="ar"/>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997,985,000.00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w:t>
            </w:r>
            <w:r>
              <w:rPr>
                <w:rFonts w:hint="default" w:ascii="宋体" w:hAnsi="宋体" w:eastAsia="宋体" w:cs="宋体"/>
                <w:i w:val="0"/>
                <w:color w:val="000000"/>
                <w:kern w:val="0"/>
                <w:sz w:val="18"/>
                <w:szCs w:val="18"/>
                <w:u w:val="none"/>
                <w:lang w:val="en-US" w:eastAsia="zh-CN" w:bidi="ar"/>
              </w:rPr>
              <w:t>基准</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2020年4月17日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2021年2月23日</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346010100101567204</w:t>
            </w:r>
          </w:p>
        </w:tc>
      </w:tr>
    </w:tbl>
    <w:p>
      <w:pPr>
        <w:spacing w:line="360" w:lineRule="auto"/>
        <w:rPr>
          <w:rFonts w:asciiTheme="minorEastAsia" w:hAnsiTheme="minorEastAsia"/>
          <w:b/>
          <w:szCs w:val="21"/>
        </w:rPr>
      </w:pPr>
    </w:p>
    <w:p>
      <w:pPr>
        <w:keepNext w:val="0"/>
        <w:keepLines w:val="0"/>
        <w:pageBreakBefore w:val="0"/>
        <w:widowControl w:val="0"/>
        <w:kinsoku/>
        <w:overflowPunct/>
        <w:topLinePunct w:val="0"/>
        <w:autoSpaceDE/>
        <w:autoSpaceDN/>
        <w:bidi w:val="0"/>
        <w:adjustRightInd/>
        <w:snapToGrid/>
        <w:spacing w:line="240" w:lineRule="auto"/>
        <w:textAlignment w:val="auto"/>
        <w:rPr>
          <w:rFonts w:asciiTheme="minorEastAsia" w:hAnsiTheme="minorEastAsia"/>
          <w:szCs w:val="21"/>
        </w:rPr>
      </w:pPr>
      <w:r>
        <w:rPr>
          <w:rFonts w:hint="eastAsia" w:asciiTheme="minorEastAsia" w:hAnsiTheme="minorEastAsia"/>
          <w:szCs w:val="21"/>
        </w:rPr>
        <w:t>二、收益情况</w:t>
      </w: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1,015,845,284.36</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1.0178</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1.0178</w:t>
            </w:r>
            <w:r>
              <w:rPr>
                <w:rFonts w:hint="default" w:ascii="宋体" w:hAnsi="宋体" w:eastAsia="宋体" w:cs="宋体"/>
                <w:i w:val="0"/>
                <w:color w:val="000000"/>
                <w:kern w:val="0"/>
                <w:sz w:val="18"/>
                <w:szCs w:val="18"/>
                <w:u w:val="none"/>
                <w:lang w:val="en-US" w:eastAsia="zh-CN"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金额</w:t>
            </w:r>
            <w:r>
              <w:rPr>
                <w:rFonts w:hint="eastAsia" w:ascii="宋体" w:hAnsi="宋体" w:eastAsia="宋体" w:cs="宋体"/>
                <w:i w:val="0"/>
                <w:color w:val="000000"/>
                <w:kern w:val="0"/>
                <w:sz w:val="18"/>
                <w:szCs w:val="18"/>
                <w:u w:val="none"/>
                <w:lang w:val="en-US" w:eastAsia="zh-CN" w:bidi="ar"/>
              </w:rPr>
              <w:t>（元）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占比</w:t>
            </w: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1,020,801,633.56</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623,534,059.87</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212,716,537.72</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20.84</w:t>
            </w:r>
          </w:p>
        </w:tc>
      </w:tr>
      <w:tr>
        <w:tblPrEx>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184,551,035.97</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835"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84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2914"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835"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84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914"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542"/>
        <w:gridCol w:w="1851"/>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资产名称</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14日质押式逆回购</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102,384,082.20</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17渝兴永ZR001</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95,349,786.89</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078"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永赢金融租赁有限公司同业借款</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90,725,000.00</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19合川投资PPN001</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90,207,642.74</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19阜阳城南PPN001</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86,457,632.88</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18潍坊银行二级01</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73,037,800.00</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17益阳城投PPN001A</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58,032,893.15</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18宜昌绿色债NPB</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54,542,733.23</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18潍滨专项债01</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52,650,639.84</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0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18江津华信PPN002</w:t>
            </w:r>
          </w:p>
        </w:tc>
        <w:tc>
          <w:tcPr>
            <w:tcW w:w="10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48,428,196.72</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4.74</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09" w:type="pct"/>
        <w:tblInd w:w="-96" w:type="dxa"/>
        <w:shd w:val="clear" w:color="auto" w:fill="auto"/>
        <w:tblLayout w:type="autofit"/>
        <w:tblCellMar>
          <w:top w:w="0" w:type="dxa"/>
          <w:left w:w="0" w:type="dxa"/>
          <w:bottom w:w="0" w:type="dxa"/>
          <w:right w:w="0" w:type="dxa"/>
        </w:tblCellMar>
      </w:tblPr>
      <w:tblGrid>
        <w:gridCol w:w="489"/>
        <w:gridCol w:w="2976"/>
        <w:gridCol w:w="1815"/>
        <w:gridCol w:w="1110"/>
        <w:gridCol w:w="944"/>
        <w:gridCol w:w="1184"/>
      </w:tblGrid>
      <w:tr>
        <w:tblPrEx>
          <w:shd w:val="clear" w:color="auto" w:fill="auto"/>
          <w:tblCellMar>
            <w:top w:w="0" w:type="dxa"/>
            <w:left w:w="0" w:type="dxa"/>
            <w:bottom w:w="0" w:type="dxa"/>
            <w:right w:w="0" w:type="dxa"/>
          </w:tblCellMar>
        </w:tblPrEx>
        <w:trPr>
          <w:trHeight w:val="465" w:hRule="atLeast"/>
        </w:trPr>
        <w:tc>
          <w:tcPr>
            <w:tcW w:w="2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6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65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55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6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2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7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重庆市永川区兴永建设发展有限公司</w:t>
            </w:r>
          </w:p>
        </w:tc>
        <w:tc>
          <w:tcPr>
            <w:tcW w:w="106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17渝兴永ZR001</w:t>
            </w:r>
          </w:p>
        </w:tc>
        <w:tc>
          <w:tcPr>
            <w:tcW w:w="65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756</w:t>
            </w:r>
          </w:p>
        </w:tc>
        <w:tc>
          <w:tcPr>
            <w:tcW w:w="55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6.38</w:t>
            </w:r>
          </w:p>
        </w:tc>
        <w:tc>
          <w:tcPr>
            <w:tcW w:w="6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债权融资计划</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016"/>
        <w:gridCol w:w="1016"/>
        <w:gridCol w:w="1027"/>
        <w:gridCol w:w="1257"/>
        <w:gridCol w:w="1332"/>
        <w:gridCol w:w="111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73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8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19浦口康居GN001</w:t>
            </w:r>
          </w:p>
        </w:tc>
        <w:tc>
          <w:tcPr>
            <w:tcW w:w="59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非公开定向债务融资工具</w:t>
            </w:r>
          </w:p>
        </w:tc>
        <w:tc>
          <w:tcPr>
            <w:tcW w:w="60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131900002</w:t>
            </w:r>
          </w:p>
        </w:tc>
        <w:tc>
          <w:tcPr>
            <w:tcW w:w="737"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450000</w:t>
            </w:r>
          </w:p>
        </w:tc>
        <w:tc>
          <w:tcPr>
            <w:tcW w:w="781"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45729931.69</w:t>
            </w:r>
          </w:p>
        </w:tc>
        <w:tc>
          <w:tcPr>
            <w:tcW w:w="65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w:t>
            </w:r>
            <w:bookmarkStart w:id="1" w:name="_GoBack"/>
            <w:bookmarkEnd w:id="1"/>
            <w:r>
              <w:rPr>
                <w:rFonts w:hint="eastAsia" w:ascii="宋体" w:hAnsi="宋体" w:eastAsia="宋体" w:cs="宋体"/>
                <w:i w:val="0"/>
                <w:color w:val="000000"/>
                <w:kern w:val="0"/>
                <w:sz w:val="18"/>
                <w:szCs w:val="18"/>
                <w:u w:val="none"/>
                <w:lang w:val="en-US" w:eastAsia="zh-CN" w:bidi="ar"/>
              </w:rPr>
              <w:t>行股份有限公司</w:t>
            </w:r>
          </w:p>
        </w:tc>
        <w:tc>
          <w:tcPr>
            <w:tcW w:w="656"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bl>
    <w:p>
      <w:pPr>
        <w:numPr>
          <w:ilvl w:val="0"/>
          <w:numId w:val="0"/>
        </w:numPr>
        <w:ind w:leftChars="0"/>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641"/>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64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21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4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39B6968"/>
    <w:rsid w:val="046451CE"/>
    <w:rsid w:val="07DB680E"/>
    <w:rsid w:val="08613963"/>
    <w:rsid w:val="092D14CE"/>
    <w:rsid w:val="09563133"/>
    <w:rsid w:val="095C3F65"/>
    <w:rsid w:val="0BD02B2A"/>
    <w:rsid w:val="0FC53136"/>
    <w:rsid w:val="109116D6"/>
    <w:rsid w:val="12413345"/>
    <w:rsid w:val="125D0F5C"/>
    <w:rsid w:val="12931977"/>
    <w:rsid w:val="13814A1B"/>
    <w:rsid w:val="1441580E"/>
    <w:rsid w:val="145B1C45"/>
    <w:rsid w:val="154F13DA"/>
    <w:rsid w:val="172D775D"/>
    <w:rsid w:val="182721AC"/>
    <w:rsid w:val="197D5ABF"/>
    <w:rsid w:val="19A54864"/>
    <w:rsid w:val="1A296386"/>
    <w:rsid w:val="1BDE0CAD"/>
    <w:rsid w:val="1C760FBE"/>
    <w:rsid w:val="1FF23D36"/>
    <w:rsid w:val="21ED676D"/>
    <w:rsid w:val="2350060C"/>
    <w:rsid w:val="25E358EE"/>
    <w:rsid w:val="26282E6C"/>
    <w:rsid w:val="26FD1903"/>
    <w:rsid w:val="27BD45FF"/>
    <w:rsid w:val="29DA3D49"/>
    <w:rsid w:val="2A0F4201"/>
    <w:rsid w:val="2AEB1E5A"/>
    <w:rsid w:val="2FF34915"/>
    <w:rsid w:val="328522BE"/>
    <w:rsid w:val="331E4C1A"/>
    <w:rsid w:val="335601C3"/>
    <w:rsid w:val="33F54821"/>
    <w:rsid w:val="35DB54D6"/>
    <w:rsid w:val="379A485A"/>
    <w:rsid w:val="37B114AF"/>
    <w:rsid w:val="39BA6599"/>
    <w:rsid w:val="3A066690"/>
    <w:rsid w:val="3B5E67BE"/>
    <w:rsid w:val="3E2835B7"/>
    <w:rsid w:val="3EBE3EFC"/>
    <w:rsid w:val="40B73C5D"/>
    <w:rsid w:val="412C236A"/>
    <w:rsid w:val="422B2661"/>
    <w:rsid w:val="425D719C"/>
    <w:rsid w:val="42982300"/>
    <w:rsid w:val="43250476"/>
    <w:rsid w:val="45AC49C1"/>
    <w:rsid w:val="472D2614"/>
    <w:rsid w:val="49343EE8"/>
    <w:rsid w:val="4B1E5A56"/>
    <w:rsid w:val="4E6C5390"/>
    <w:rsid w:val="4F05414C"/>
    <w:rsid w:val="51EC6135"/>
    <w:rsid w:val="548F6ED3"/>
    <w:rsid w:val="572F2943"/>
    <w:rsid w:val="57D83C46"/>
    <w:rsid w:val="586214C2"/>
    <w:rsid w:val="5A622306"/>
    <w:rsid w:val="5AB01723"/>
    <w:rsid w:val="5BF12A46"/>
    <w:rsid w:val="5D5E2859"/>
    <w:rsid w:val="5D8B4F22"/>
    <w:rsid w:val="609F313E"/>
    <w:rsid w:val="621F0476"/>
    <w:rsid w:val="63D37DC1"/>
    <w:rsid w:val="671D7CC1"/>
    <w:rsid w:val="687C70C4"/>
    <w:rsid w:val="69074462"/>
    <w:rsid w:val="6C9B0C01"/>
    <w:rsid w:val="6D286542"/>
    <w:rsid w:val="6E546A74"/>
    <w:rsid w:val="6EC46CD5"/>
    <w:rsid w:val="6FA67F07"/>
    <w:rsid w:val="72865F8B"/>
    <w:rsid w:val="75736568"/>
    <w:rsid w:val="7629260A"/>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2020-10-28T08:48:00Z</cp:lastPrinted>
  <dcterms:modified xsi:type="dcterms:W3CDTF">2022-01-04T07:36:32Z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