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heme="minorEastAsia" w:hAnsiTheme="minorEastAsia" w:eastAsiaTheme="minorEastAsia"/>
          <w:b/>
          <w:sz w:val="32"/>
          <w:szCs w:val="32"/>
          <w:lang w:val="en-US" w:eastAsia="zh-CN"/>
        </w:rPr>
      </w:pPr>
      <w:bookmarkStart w:id="0" w:name="_Toc524626124"/>
      <w:r>
        <w:rPr>
          <w:rFonts w:hint="eastAsia" w:asciiTheme="minorEastAsia" w:hAnsiTheme="minorEastAsia"/>
          <w:b/>
          <w:sz w:val="32"/>
          <w:szCs w:val="32"/>
        </w:rPr>
        <w:t>重庆农村商业银行江渝财富“天添金”</w:t>
      </w:r>
      <w:r>
        <w:rPr>
          <w:rFonts w:hint="eastAsia" w:asciiTheme="minorEastAsia" w:hAnsiTheme="minorEastAsia"/>
          <w:b/>
          <w:sz w:val="32"/>
          <w:szCs w:val="32"/>
          <w:lang w:val="en-US" w:eastAsia="zh-CN"/>
        </w:rPr>
        <w:t xml:space="preserve">                </w:t>
      </w:r>
      <w:r>
        <w:rPr>
          <w:rFonts w:hint="eastAsia" w:asciiTheme="minorEastAsia" w:hAnsiTheme="minorEastAsia"/>
          <w:b/>
          <w:sz w:val="32"/>
          <w:szCs w:val="32"/>
        </w:rPr>
        <w:t>2020年第502期公募封闭式净值型</w:t>
      </w:r>
      <w:r>
        <w:rPr>
          <w:rFonts w:hint="eastAsia" w:asciiTheme="minorEastAsia" w:hAnsiTheme="minorEastAsia"/>
          <w:b/>
          <w:sz w:val="32"/>
          <w:szCs w:val="32"/>
          <w:lang w:val="en-US" w:eastAsia="zh-CN"/>
        </w:rPr>
        <w:t>理财产品</w:t>
      </w:r>
    </w:p>
    <w:p>
      <w:pPr>
        <w:jc w:val="center"/>
        <w:rPr>
          <w:rFonts w:asciiTheme="minorEastAsia" w:hAnsiTheme="minorEastAsia"/>
          <w:b/>
          <w:sz w:val="32"/>
          <w:szCs w:val="32"/>
        </w:rPr>
      </w:pPr>
      <w:r>
        <w:rPr>
          <w:rFonts w:hint="eastAsia" w:asciiTheme="minorEastAsia" w:hAnsiTheme="minorEastAsia"/>
          <w:b/>
          <w:sz w:val="32"/>
          <w:szCs w:val="32"/>
          <w:lang w:val="en-US" w:eastAsia="zh-CN"/>
        </w:rPr>
        <w:t>2020年第三季度</w:t>
      </w:r>
      <w:r>
        <w:rPr>
          <w:rFonts w:hint="eastAsia" w:asciiTheme="minorEastAsia" w:hAnsiTheme="minorEastAsia"/>
          <w:b/>
          <w:sz w:val="32"/>
          <w:szCs w:val="32"/>
        </w:rPr>
        <w:t>投资管理报告</w:t>
      </w:r>
    </w:p>
    <w:p>
      <w:pPr>
        <w:rPr>
          <w:rFonts w:eastAsia="仿宋"/>
          <w:b/>
          <w:sz w:val="24"/>
        </w:rPr>
      </w:pP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6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产品名称</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江渝财富“天添金”2020年第502期公募封闭式净值型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产品编号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12020502GFJ</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理财系统登记编码</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C1126720000110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产品类型</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非保本浮动收益型封闭式净值型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产品类别</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内部风险评级</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产品存续规模</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499,784,000.00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业绩比较基准</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产品成立日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2020年6月28日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产品到期日</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 xml:space="preserve">2021年1月22日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产品托管行</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上海银行股份有限公司成都分行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3"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产品托管账户</w:t>
            </w:r>
          </w:p>
        </w:tc>
        <w:tc>
          <w:tcPr>
            <w:tcW w:w="3636" w:type="pct"/>
          </w:tcPr>
          <w:p>
            <w:pPr>
              <w:keepNext w:val="0"/>
              <w:keepLines w:val="0"/>
              <w:widowControl/>
              <w:suppressLineNumbers w:val="0"/>
              <w:jc w:val="left"/>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03004137247</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二、收益情况</w:t>
      </w:r>
    </w:p>
    <w:p>
      <w:pPr>
        <w:keepNext w:val="0"/>
        <w:keepLines w:val="0"/>
        <w:widowControl/>
        <w:suppressLineNumbers w:val="0"/>
        <w:jc w:val="righ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单位：人民币元</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9"/>
        <w:gridCol w:w="6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期末资产净值</w:t>
            </w:r>
          </w:p>
        </w:tc>
        <w:tc>
          <w:tcPr>
            <w:tcW w:w="3632"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504,928,599.23</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期末产品份额净值</w:t>
            </w:r>
          </w:p>
        </w:tc>
        <w:tc>
          <w:tcPr>
            <w:tcW w:w="3632"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1.0102</w:t>
            </w:r>
            <w:r>
              <w:rPr>
                <w:rFonts w:hint="default" w:ascii="宋体" w:hAnsi="宋体" w:eastAsia="宋体" w:cs="宋体"/>
                <w:i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7"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期末产品份额累计净值</w:t>
            </w:r>
          </w:p>
        </w:tc>
        <w:tc>
          <w:tcPr>
            <w:tcW w:w="3632" w:type="pct"/>
          </w:tcPr>
          <w:p>
            <w:pPr>
              <w:keepNext w:val="0"/>
              <w:keepLines w:val="0"/>
              <w:widowControl/>
              <w:suppressLineNumbers w:val="0"/>
              <w:jc w:val="left"/>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1.0102</w:t>
            </w:r>
            <w:r>
              <w:rPr>
                <w:rFonts w:hint="default" w:ascii="宋体" w:hAnsi="宋体" w:eastAsia="宋体" w:cs="宋体"/>
                <w:i w:val="0"/>
                <w:color w:val="000000"/>
                <w:kern w:val="0"/>
                <w:sz w:val="18"/>
                <w:szCs w:val="18"/>
                <w:u w:val="none"/>
                <w:lang w:val="en-US" w:eastAsia="zh-CN" w:bidi="ar"/>
              </w:rPr>
              <w:t xml:space="preserve">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533"/>
        <w:gridCol w:w="2299"/>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486"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固定收益类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505,709,480.20</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其中：债券</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245,946,112.48</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同业往来资产</w:t>
            </w:r>
          </w:p>
        </w:tc>
        <w:tc>
          <w:tcPr>
            <w:tcW w:w="1349" w:type="pct"/>
            <w:vAlign w:val="bottom"/>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259,763,367.72</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其他债权类资产</w:t>
            </w:r>
          </w:p>
        </w:tc>
        <w:tc>
          <w:tcPr>
            <w:tcW w:w="1349" w:type="pct"/>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权益类</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其中：股票</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其他股权类资产</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商品及金融衍生品类</w:t>
            </w:r>
          </w:p>
        </w:tc>
        <w:tc>
          <w:tcPr>
            <w:tcW w:w="1349"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c>
          <w:tcPr>
            <w:tcW w:w="1750"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restar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其中：商品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13" w:type="pct"/>
            <w:vMerge w:val="continue"/>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p>
        </w:tc>
        <w:tc>
          <w:tcPr>
            <w:tcW w:w="1486"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金融衍生品</w:t>
            </w:r>
          </w:p>
        </w:tc>
        <w:tc>
          <w:tcPr>
            <w:tcW w:w="1349"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0"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hint="eastAsia" w:asciiTheme="minorEastAsia" w:hAnsiTheme="minorEastAsia"/>
          <w:szCs w:val="21"/>
        </w:rPr>
        <w:sectPr>
          <w:footerReference r:id="rId4" w:type="first"/>
          <w:footerReference r:id="rId3" w:type="default"/>
          <w:pgSz w:w="11906" w:h="16838"/>
          <w:pgMar w:top="1440" w:right="1800" w:bottom="1440" w:left="1800" w:header="851" w:footer="992" w:gutter="0"/>
          <w:pgNumType w:fmt="decimal" w:start="1"/>
          <w:cols w:space="425" w:num="1"/>
          <w:titlePg/>
          <w:docGrid w:type="lines" w:linePitch="312" w:charSpace="0"/>
        </w:sectPr>
      </w:pPr>
    </w:p>
    <w:p>
      <w:pPr>
        <w:rPr>
          <w:rFonts w:asciiTheme="minorEastAsia" w:hAnsiTheme="minorEastAsia"/>
          <w:szCs w:val="21"/>
        </w:rPr>
      </w:pPr>
      <w:r>
        <w:rPr>
          <w:rFonts w:hint="eastAsia" w:asciiTheme="minorEastAsia" w:hAnsiTheme="minorEastAsia"/>
          <w:szCs w:val="21"/>
        </w:rPr>
        <w:t>（二）投资组合回购情况</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911"/>
        <w:gridCol w:w="1892"/>
        <w:gridCol w:w="2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投资资产种类</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1757"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占产品净资产的比例（%）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08"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110"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757" w:type="pct"/>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ind w:right="720"/>
        <w:rPr>
          <w:rFonts w:asciiTheme="minorEastAsia" w:hAnsiTheme="minorEastAsia"/>
          <w:szCs w:val="21"/>
        </w:rPr>
      </w:pPr>
      <w:r>
        <w:rPr>
          <w:rFonts w:hint="eastAsia" w:asciiTheme="minorEastAsia" w:hAnsiTheme="minorEastAsia"/>
          <w:szCs w:val="21"/>
        </w:rPr>
        <w:t>在本报告期内，投资组合的杠杆率为</w:t>
      </w:r>
      <w:r>
        <w:rPr>
          <w:rFonts w:asciiTheme="minorEastAsia" w:hAnsiTheme="minorEastAsia"/>
          <w:szCs w:val="21"/>
        </w:rPr>
        <w:t>100%</w:t>
      </w:r>
      <w:r>
        <w:rPr>
          <w:rFonts w:hint="eastAsia" w:asciiTheme="minorEastAsia" w:hAnsiTheme="minorEastAsia"/>
          <w:szCs w:val="21"/>
        </w:rPr>
        <w:t>。</w:t>
      </w:r>
    </w:p>
    <w:p>
      <w:pPr>
        <w:ind w:firstLine="480"/>
        <w:jc w:val="right"/>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（三）投资组合持仓前十大资产情况</w:t>
      </w:r>
    </w:p>
    <w:p>
      <w:pPr>
        <w:rPr>
          <w:rFonts w:asciiTheme="minorEastAsia" w:hAnsiTheme="minorEastAsia"/>
          <w:szCs w:val="21"/>
        </w:rPr>
      </w:pPr>
      <w:r>
        <w:rPr>
          <w:rFonts w:hint="eastAsia" w:asciiTheme="minorEastAsia" w:hAnsiTheme="minorEastAsia"/>
          <w:szCs w:val="21"/>
        </w:rPr>
        <w:t>截至</w:t>
      </w:r>
      <w:r>
        <w:rPr>
          <w:color w:val="auto"/>
          <w:u w:val="none"/>
        </w:rPr>
        <w:t>2020年09月30日，本产品持仓前十项资产明细如下：</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3575"/>
        <w:gridCol w:w="2534"/>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209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48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金额（元）</w:t>
            </w:r>
          </w:p>
        </w:tc>
        <w:tc>
          <w:tcPr>
            <w:tcW w:w="9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2098"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徽银金融租赁有限公司同业借款</w:t>
            </w:r>
          </w:p>
        </w:tc>
        <w:tc>
          <w:tcPr>
            <w:tcW w:w="148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250,060,416.67</w:t>
            </w:r>
          </w:p>
        </w:tc>
        <w:tc>
          <w:tcPr>
            <w:tcW w:w="9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49.45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w:t>
            </w:r>
          </w:p>
        </w:tc>
        <w:tc>
          <w:tcPr>
            <w:tcW w:w="209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19重庆园业PPN001</w:t>
            </w:r>
          </w:p>
        </w:tc>
        <w:tc>
          <w:tcPr>
            <w:tcW w:w="148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42,010,491.80</w:t>
            </w:r>
          </w:p>
        </w:tc>
        <w:tc>
          <w:tcPr>
            <w:tcW w:w="9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w:t>
            </w:r>
          </w:p>
        </w:tc>
        <w:tc>
          <w:tcPr>
            <w:tcW w:w="209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19淮安水利PPN001</w:t>
            </w:r>
          </w:p>
        </w:tc>
        <w:tc>
          <w:tcPr>
            <w:tcW w:w="148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41,404,371.58</w:t>
            </w:r>
          </w:p>
        </w:tc>
        <w:tc>
          <w:tcPr>
            <w:tcW w:w="9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w:t>
            </w:r>
          </w:p>
        </w:tc>
        <w:tc>
          <w:tcPr>
            <w:tcW w:w="209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19富邦华一二级01</w:t>
            </w:r>
          </w:p>
        </w:tc>
        <w:tc>
          <w:tcPr>
            <w:tcW w:w="148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40,877,589.04</w:t>
            </w:r>
          </w:p>
        </w:tc>
        <w:tc>
          <w:tcPr>
            <w:tcW w:w="9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5</w:t>
            </w:r>
          </w:p>
        </w:tc>
        <w:tc>
          <w:tcPr>
            <w:tcW w:w="209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18双桥经开PPN001</w:t>
            </w:r>
          </w:p>
        </w:tc>
        <w:tc>
          <w:tcPr>
            <w:tcW w:w="148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39,143,573.77</w:t>
            </w:r>
          </w:p>
        </w:tc>
        <w:tc>
          <w:tcPr>
            <w:tcW w:w="9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w:t>
            </w:r>
          </w:p>
        </w:tc>
        <w:tc>
          <w:tcPr>
            <w:tcW w:w="209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19合川投资PPN002</w:t>
            </w:r>
          </w:p>
        </w:tc>
        <w:tc>
          <w:tcPr>
            <w:tcW w:w="148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36,426,082.19</w:t>
            </w:r>
          </w:p>
        </w:tc>
        <w:tc>
          <w:tcPr>
            <w:tcW w:w="9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7</w:t>
            </w:r>
          </w:p>
        </w:tc>
        <w:tc>
          <w:tcPr>
            <w:tcW w:w="209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19滨江投资PPN001</w:t>
            </w:r>
          </w:p>
        </w:tc>
        <w:tc>
          <w:tcPr>
            <w:tcW w:w="148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34,479,004.10</w:t>
            </w:r>
          </w:p>
        </w:tc>
        <w:tc>
          <w:tcPr>
            <w:tcW w:w="9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8</w:t>
            </w:r>
          </w:p>
        </w:tc>
        <w:tc>
          <w:tcPr>
            <w:tcW w:w="2098"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18长寿经开MTN001</w:t>
            </w:r>
          </w:p>
        </w:tc>
        <w:tc>
          <w:tcPr>
            <w:tcW w:w="148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11,605,000.00</w:t>
            </w:r>
          </w:p>
        </w:tc>
        <w:tc>
          <w:tcPr>
            <w:tcW w:w="9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w:t>
            </w:r>
          </w:p>
        </w:tc>
        <w:tc>
          <w:tcPr>
            <w:tcW w:w="2098" w:type="pct"/>
            <w:vAlign w:val="top"/>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银行存款</w:t>
            </w:r>
          </w:p>
        </w:tc>
        <w:tc>
          <w:tcPr>
            <w:tcW w:w="148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9,702,951.05</w:t>
            </w:r>
          </w:p>
        </w:tc>
        <w:tc>
          <w:tcPr>
            <w:tcW w:w="907" w:type="pct"/>
            <w:vAlign w:val="top"/>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1.92</w:t>
            </w:r>
          </w:p>
        </w:tc>
      </w:tr>
    </w:tbl>
    <w:p>
      <w:pPr>
        <w:rPr>
          <w:rFonts w:hint="eastAsia" w:asciiTheme="minorEastAsia" w:hAnsiTheme="minorEastAsia"/>
          <w:sz w:val="18"/>
          <w:szCs w:val="18"/>
          <w:lang w:val="en-US" w:eastAsia="zh-CN"/>
        </w:rPr>
      </w:pPr>
      <w:r>
        <w:rPr>
          <w:rFonts w:hint="eastAsia" w:asciiTheme="minorEastAsia" w:hAnsiTheme="minorEastAsia"/>
          <w:sz w:val="18"/>
          <w:szCs w:val="18"/>
          <w:lang w:val="en-US" w:eastAsia="zh-CN"/>
        </w:rPr>
        <w:t>备注：上述资产金额为该期产品资产市值</w:t>
      </w:r>
    </w:p>
    <w:p>
      <w:pPr>
        <w:rPr>
          <w:rFonts w:asciiTheme="minorEastAsia" w:hAnsiTheme="minorEastAsia"/>
          <w:b/>
          <w:szCs w:val="21"/>
        </w:rPr>
      </w:pPr>
    </w:p>
    <w:bookmarkEnd w:id="0"/>
    <w:p>
      <w:pPr>
        <w:numPr>
          <w:ilvl w:val="0"/>
          <w:numId w:val="2"/>
        </w:numPr>
        <w:rPr>
          <w:rFonts w:hint="eastAsia" w:asciiTheme="minorEastAsia" w:hAnsiTheme="minorEastAsia"/>
          <w:szCs w:val="21"/>
          <w:lang w:val="en-US" w:eastAsia="zh-CN"/>
        </w:rPr>
      </w:pPr>
      <w:r>
        <w:rPr>
          <w:rFonts w:hint="eastAsia" w:asciiTheme="minorEastAsia" w:hAnsiTheme="minorEastAsia"/>
          <w:szCs w:val="21"/>
          <w:lang w:val="en-US" w:eastAsia="zh-CN"/>
        </w:rPr>
        <w:t>非标准化债权类资产投资情况</w:t>
      </w:r>
    </w:p>
    <w:p>
      <w:pPr>
        <w:numPr>
          <w:ilvl w:val="0"/>
          <w:numId w:val="0"/>
        </w:numPr>
        <w:jc w:val="both"/>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期末理财产品持有非标准化债权类资产情况如下：</w:t>
      </w:r>
    </w:p>
    <w:tbl>
      <w:tblPr>
        <w:tblStyle w:val="19"/>
        <w:tblW w:w="5100" w:type="pct"/>
        <w:tblInd w:w="-96" w:type="dxa"/>
        <w:shd w:val="clear" w:color="auto" w:fill="auto"/>
        <w:tblLayout w:type="autofit"/>
        <w:tblCellMar>
          <w:top w:w="0" w:type="dxa"/>
          <w:left w:w="0" w:type="dxa"/>
          <w:bottom w:w="0" w:type="dxa"/>
          <w:right w:w="0" w:type="dxa"/>
        </w:tblCellMar>
      </w:tblPr>
      <w:tblGrid>
        <w:gridCol w:w="866"/>
        <w:gridCol w:w="2124"/>
        <w:gridCol w:w="1799"/>
        <w:gridCol w:w="1401"/>
        <w:gridCol w:w="1082"/>
        <w:gridCol w:w="1231"/>
      </w:tblGrid>
      <w:tr>
        <w:tblPrEx>
          <w:shd w:val="clear" w:color="auto" w:fill="auto"/>
          <w:tblCellMar>
            <w:top w:w="0" w:type="dxa"/>
            <w:left w:w="0" w:type="dxa"/>
            <w:bottom w:w="0" w:type="dxa"/>
            <w:right w:w="0" w:type="dxa"/>
          </w:tblCellMar>
        </w:tblPrEx>
        <w:trPr>
          <w:trHeight w:val="465" w:hRule="atLeast"/>
        </w:trPr>
        <w:tc>
          <w:tcPr>
            <w:tcW w:w="50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24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融资客户</w:t>
            </w:r>
          </w:p>
        </w:tc>
        <w:tc>
          <w:tcPr>
            <w:tcW w:w="105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项目名称</w:t>
            </w:r>
          </w:p>
        </w:tc>
        <w:tc>
          <w:tcPr>
            <w:tcW w:w="8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剩余融资期限（天）</w:t>
            </w:r>
          </w:p>
        </w:tc>
        <w:tc>
          <w:tcPr>
            <w:tcW w:w="63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年化收益率（%）</w:t>
            </w:r>
          </w:p>
        </w:tc>
        <w:tc>
          <w:tcPr>
            <w:tcW w:w="7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交易结构</w:t>
            </w:r>
          </w:p>
        </w:tc>
      </w:tr>
      <w:tr>
        <w:tblPrEx>
          <w:shd w:val="clear" w:color="auto" w:fill="auto"/>
          <w:tblCellMar>
            <w:top w:w="0" w:type="dxa"/>
            <w:left w:w="0" w:type="dxa"/>
            <w:bottom w:w="0" w:type="dxa"/>
            <w:right w:w="0" w:type="dxa"/>
          </w:tblCellMar>
        </w:tblPrEx>
        <w:trPr>
          <w:trHeight w:val="465" w:hRule="atLeast"/>
        </w:trPr>
        <w:tc>
          <w:tcPr>
            <w:tcW w:w="509"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default"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w:t>
            </w:r>
          </w:p>
        </w:tc>
        <w:tc>
          <w:tcPr>
            <w:tcW w:w="1248"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徽银金融租赁有限公司</w:t>
            </w:r>
          </w:p>
        </w:tc>
        <w:tc>
          <w:tcPr>
            <w:tcW w:w="1057"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徽银租赁同业借款</w:t>
            </w:r>
          </w:p>
        </w:tc>
        <w:tc>
          <w:tcPr>
            <w:tcW w:w="8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113</w:t>
            </w:r>
          </w:p>
        </w:tc>
        <w:tc>
          <w:tcPr>
            <w:tcW w:w="636"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default" w:ascii="宋体" w:hAnsi="宋体" w:eastAsia="宋体" w:cs="宋体"/>
                <w:i w:val="0"/>
                <w:color w:val="000000"/>
                <w:kern w:val="0"/>
                <w:sz w:val="18"/>
                <w:szCs w:val="18"/>
                <w:u w:val="none"/>
                <w:lang w:val="en-US" w:eastAsia="zh-CN" w:bidi="ar"/>
              </w:rPr>
              <w:t>4.35</w:t>
            </w:r>
          </w:p>
        </w:tc>
        <w:tc>
          <w:tcPr>
            <w:tcW w:w="7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同业借款</w:t>
            </w:r>
          </w:p>
        </w:tc>
      </w:tr>
    </w:tbl>
    <w:p>
      <w:pPr>
        <w:numPr>
          <w:ilvl w:val="0"/>
          <w:numId w:val="0"/>
        </w:numPr>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关联交易情况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期末理财产品持有的关联方发行或承销的证券明细如下：</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018"/>
        <w:gridCol w:w="1018"/>
        <w:gridCol w:w="1018"/>
        <w:gridCol w:w="1018"/>
        <w:gridCol w:w="1570"/>
        <w:gridCol w:w="1120"/>
        <w:gridCol w:w="1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证券简称</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资产类别</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证券代码</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交易数量（张）</w:t>
            </w:r>
          </w:p>
        </w:tc>
        <w:tc>
          <w:tcPr>
            <w:tcW w:w="92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总金额（元）</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关联方名称</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关联方角色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3"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59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921"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657" w:type="pct"/>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default"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收益分配情况</w:t>
      </w:r>
    </w:p>
    <w:p>
      <w:pPr>
        <w:numPr>
          <w:ilvl w:val="0"/>
          <w:numId w:val="0"/>
        </w:numPr>
        <w:ind w:leftChars="0"/>
        <w:rPr>
          <w:rFonts w:hint="default" w:asciiTheme="minorEastAsia" w:hAnsiTheme="minorEastAsia"/>
          <w:szCs w:val="21"/>
          <w:lang w:val="en-US" w:eastAsia="zh-CN"/>
        </w:rPr>
      </w:pPr>
      <w:r>
        <w:rPr>
          <w:rFonts w:hint="eastAsia" w:asciiTheme="minorEastAsia" w:hAnsiTheme="minorEastAsia"/>
          <w:szCs w:val="21"/>
          <w:lang w:val="en-US" w:eastAsia="zh-CN"/>
        </w:rPr>
        <w:t>报告期内理财产品收益分配情况如下：</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份额登记日</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分红日</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现金分红金额</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红利再投资份额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numPr>
          <w:ilvl w:val="0"/>
          <w:numId w:val="0"/>
        </w:numPr>
        <w:ind w:leftChars="0"/>
        <w:rPr>
          <w:rFonts w:hint="eastAsia" w:asciiTheme="minorEastAsia" w:hAnsiTheme="minorEastAsia"/>
          <w:szCs w:val="21"/>
          <w:lang w:val="en-US" w:eastAsia="zh-CN"/>
        </w:rPr>
      </w:pPr>
    </w:p>
    <w:p>
      <w:pPr>
        <w:numPr>
          <w:ilvl w:val="0"/>
          <w:numId w:val="2"/>
        </w:numPr>
        <w:ind w:left="0" w:leftChars="0" w:firstLine="0" w:firstLineChars="0"/>
        <w:rPr>
          <w:rFonts w:hint="eastAsia" w:asciiTheme="minorEastAsia" w:hAnsiTheme="minorEastAsia"/>
          <w:szCs w:val="21"/>
          <w:lang w:val="en-US" w:eastAsia="zh-CN"/>
        </w:rPr>
      </w:pPr>
      <w:r>
        <w:rPr>
          <w:rFonts w:hint="eastAsia" w:asciiTheme="minorEastAsia" w:hAnsiTheme="minorEastAsia"/>
          <w:szCs w:val="21"/>
          <w:lang w:val="en-US" w:eastAsia="zh-CN"/>
        </w:rPr>
        <w:t xml:space="preserve">报告期内投资的信贷资产收受益权资产信息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903"/>
        <w:gridCol w:w="1903"/>
        <w:gridCol w:w="1903"/>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序号</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资产名称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原始权益人名称</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交易日</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项目剩余融资期限 （单位：天）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3"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c>
          <w:tcPr>
            <w:tcW w:w="1905" w:type="dxa"/>
            <w:vAlign w:val="center"/>
          </w:tcPr>
          <w:p>
            <w:pPr>
              <w:keepNext w:val="0"/>
              <w:keepLines w:val="0"/>
              <w:widowControl/>
              <w:suppressLineNumbers w:val="0"/>
              <w:jc w:val="center"/>
              <w:textAlignment w:val="top"/>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w:t>
            </w:r>
          </w:p>
        </w:tc>
      </w:tr>
    </w:tbl>
    <w:p>
      <w:pPr>
        <w:rPr>
          <w:rFonts w:hint="eastAsia" w:asciiTheme="minorEastAsia" w:hAnsiTheme="minorEastAsia"/>
          <w:szCs w:val="21"/>
        </w:rPr>
      </w:pPr>
    </w:p>
    <w:p>
      <w:pPr>
        <w:rPr>
          <w:rFonts w:hint="eastAsia" w:asciiTheme="minorEastAsia" w:hAnsiTheme="minorEastAsia"/>
          <w:szCs w:val="21"/>
          <w:lang w:val="en-US" w:eastAsia="zh-CN"/>
        </w:rPr>
        <w:sectPr>
          <w:footerReference r:id="rId6" w:type="first"/>
          <w:footerReference r:id="rId5" w:type="default"/>
          <w:pgSz w:w="11906" w:h="16838"/>
          <w:pgMar w:top="1440" w:right="1800" w:bottom="1440" w:left="1800" w:header="851" w:footer="992" w:gutter="0"/>
          <w:pgNumType w:fmt="decimal"/>
          <w:cols w:space="425" w:num="1"/>
          <w:docGrid w:type="lines" w:linePitch="312" w:charSpace="0"/>
        </w:sectPr>
      </w:pPr>
    </w:p>
    <w:p>
      <w:pPr>
        <w:rPr>
          <w:rFonts w:asciiTheme="minorEastAsia" w:hAnsiTheme="minorEastAsia"/>
          <w:szCs w:val="21"/>
        </w:rPr>
      </w:pPr>
      <w:r>
        <w:rPr>
          <w:rFonts w:hint="eastAsia" w:asciiTheme="minorEastAsia" w:hAnsiTheme="minorEastAsia"/>
          <w:szCs w:val="21"/>
          <w:lang w:val="en-US" w:eastAsia="zh-CN"/>
        </w:rPr>
        <w:t>八</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lang w:val="en-US" w:eastAsia="zh-CN"/>
        </w:rPr>
        <w:t xml:space="preserve"> </w:t>
      </w:r>
      <w:r>
        <w:rPr>
          <w:rFonts w:hint="eastAsia" w:asciiTheme="minorEastAsia" w:hAnsiTheme="minorEastAsia"/>
        </w:rPr>
        <w:t>（一）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hint="eastAsia"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numPr>
          <w:ilvl w:val="0"/>
          <w:numId w:val="0"/>
        </w:numPr>
        <w:rPr>
          <w:rFonts w:hint="eastAsia" w:asciiTheme="minorEastAsia" w:hAnsiTheme="minorEastAsia"/>
        </w:rPr>
      </w:pPr>
    </w:p>
    <w:p>
      <w:pPr>
        <w:rPr>
          <w:rFonts w:asciiTheme="minorEastAsia" w:hAnsiTheme="minorEastAsia"/>
          <w:szCs w:val="21"/>
        </w:rPr>
      </w:pPr>
      <w:r>
        <w:rPr>
          <w:rFonts w:hint="eastAsia" w:asciiTheme="minorEastAsia" w:hAnsiTheme="minorEastAsia"/>
          <w:szCs w:val="21"/>
          <w:lang w:val="en-US" w:eastAsia="zh-CN"/>
        </w:rPr>
        <w:t>九</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lang w:val="en-US" w:eastAsia="zh-CN"/>
        </w:rPr>
        <w:t xml:space="preserve">    </w:t>
      </w:r>
      <w:r>
        <w:rPr>
          <w:rFonts w:hint="eastAsia" w:asciiTheme="minorEastAsia" w:hAnsiTheme="minorEastAsia"/>
          <w:szCs w:val="21"/>
        </w:rPr>
        <w:t>（三）本产品自成立至本报告日，没有发生涉诉等损害投资者利益的情形。</w:t>
      </w:r>
    </w:p>
    <w:p>
      <w:pPr>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重庆农村商业银行股份有限公司</w:t>
      </w:r>
    </w:p>
    <w:p>
      <w:pPr>
        <w:spacing w:line="480" w:lineRule="exact"/>
        <w:ind w:right="420" w:firstLine="315" w:firstLineChars="150"/>
        <w:jc w:val="right"/>
        <w:rPr>
          <w:rFonts w:hint="default" w:asciiTheme="minorEastAsia" w:hAnsiTheme="minorEastAsia"/>
          <w:szCs w:val="21"/>
          <w:lang w:val="en-US"/>
        </w:rPr>
      </w:pPr>
      <w:r>
        <w:rPr>
          <w:rFonts w:asciiTheme="minorEastAsia" w:hAnsiTheme="minorEastAsia"/>
          <w:szCs w:val="21"/>
        </w:rPr>
        <w:t>2020</w:t>
      </w:r>
      <w:r>
        <w:rPr>
          <w:rFonts w:hint="eastAsia" w:asciiTheme="minorEastAsia" w:hAnsiTheme="minorEastAsia"/>
          <w:szCs w:val="21"/>
          <w:lang w:val="en-US" w:eastAsia="zh-CN"/>
        </w:rPr>
        <w:t>年</w:t>
      </w:r>
      <w:r>
        <w:rPr>
          <w:rFonts w:asciiTheme="minorEastAsia" w:hAnsiTheme="minorEastAsia"/>
          <w:szCs w:val="21"/>
        </w:rPr>
        <w:t>1</w:t>
      </w:r>
      <w:r>
        <w:rPr>
          <w:rFonts w:hint="eastAsia" w:asciiTheme="minorEastAsia" w:hAnsiTheme="minorEastAsia"/>
          <w:szCs w:val="21"/>
          <w:lang w:val="en-US" w:eastAsia="zh-CN"/>
        </w:rPr>
        <w:t>0月21日</w:t>
      </w:r>
      <w:bookmarkStart w:id="1" w:name="_GoBack"/>
      <w:bookmarkEnd w:id="1"/>
    </w:p>
    <w:p/>
    <w:p/>
    <w:sectPr>
      <w:footerReference r:id="rId7"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sdt>
      <w:sdtPr>
        <w:id w:val="-787586759"/>
      </w:sdtPr>
      <w:sdtContent/>
    </w:sdt>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hint="default" w:eastAsiaTheme="minorEastAsia"/>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val="en-US" w:eastAsia="zh-CN"/>
                            </w:rPr>
                            <w:t>1</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val="en-US" w:eastAsia="zh-CN"/>
                      </w:rPr>
                      <w:t>1</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24451"/>
    <w:rsid w:val="00026B24"/>
    <w:rsid w:val="00040B27"/>
    <w:rsid w:val="00042EBD"/>
    <w:rsid w:val="00053B11"/>
    <w:rsid w:val="000603B1"/>
    <w:rsid w:val="00062848"/>
    <w:rsid w:val="0006776D"/>
    <w:rsid w:val="0007621D"/>
    <w:rsid w:val="00083209"/>
    <w:rsid w:val="0008415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2007BD"/>
    <w:rsid w:val="00206886"/>
    <w:rsid w:val="002104D6"/>
    <w:rsid w:val="00211BAB"/>
    <w:rsid w:val="0021254D"/>
    <w:rsid w:val="0021436F"/>
    <w:rsid w:val="00216B4B"/>
    <w:rsid w:val="002200D8"/>
    <w:rsid w:val="002203BD"/>
    <w:rsid w:val="002219FA"/>
    <w:rsid w:val="00222087"/>
    <w:rsid w:val="00225427"/>
    <w:rsid w:val="00240E45"/>
    <w:rsid w:val="00250E8A"/>
    <w:rsid w:val="002518F4"/>
    <w:rsid w:val="00256C74"/>
    <w:rsid w:val="002668B5"/>
    <w:rsid w:val="00271536"/>
    <w:rsid w:val="00277E0A"/>
    <w:rsid w:val="002834D8"/>
    <w:rsid w:val="002848FE"/>
    <w:rsid w:val="00287808"/>
    <w:rsid w:val="002904E7"/>
    <w:rsid w:val="00292131"/>
    <w:rsid w:val="00295D49"/>
    <w:rsid w:val="0029689A"/>
    <w:rsid w:val="002A4E01"/>
    <w:rsid w:val="002A79B5"/>
    <w:rsid w:val="002B1F64"/>
    <w:rsid w:val="002B570F"/>
    <w:rsid w:val="002C0905"/>
    <w:rsid w:val="002C21A9"/>
    <w:rsid w:val="002C2B57"/>
    <w:rsid w:val="002C3560"/>
    <w:rsid w:val="002D2D13"/>
    <w:rsid w:val="002E4291"/>
    <w:rsid w:val="002E7A4B"/>
    <w:rsid w:val="002F1AE3"/>
    <w:rsid w:val="002F7419"/>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823D9"/>
    <w:rsid w:val="0038341E"/>
    <w:rsid w:val="003931AB"/>
    <w:rsid w:val="003C3801"/>
    <w:rsid w:val="003C4B70"/>
    <w:rsid w:val="003C5C10"/>
    <w:rsid w:val="003D13FD"/>
    <w:rsid w:val="003E0033"/>
    <w:rsid w:val="003E052D"/>
    <w:rsid w:val="003E118E"/>
    <w:rsid w:val="003E7678"/>
    <w:rsid w:val="003F0406"/>
    <w:rsid w:val="003F04DF"/>
    <w:rsid w:val="003F0A31"/>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18F0"/>
    <w:rsid w:val="00464004"/>
    <w:rsid w:val="004665A3"/>
    <w:rsid w:val="0046691B"/>
    <w:rsid w:val="00470845"/>
    <w:rsid w:val="00470ABA"/>
    <w:rsid w:val="00471CFD"/>
    <w:rsid w:val="00472E27"/>
    <w:rsid w:val="00476183"/>
    <w:rsid w:val="00496024"/>
    <w:rsid w:val="004A05EB"/>
    <w:rsid w:val="004C10D9"/>
    <w:rsid w:val="004E370E"/>
    <w:rsid w:val="004E512B"/>
    <w:rsid w:val="004F3C11"/>
    <w:rsid w:val="004F4464"/>
    <w:rsid w:val="004F70FE"/>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410A0"/>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382D"/>
    <w:rsid w:val="007D3D6B"/>
    <w:rsid w:val="007D6F76"/>
    <w:rsid w:val="007E61FA"/>
    <w:rsid w:val="007F4808"/>
    <w:rsid w:val="00801CF4"/>
    <w:rsid w:val="008049E8"/>
    <w:rsid w:val="00820ED4"/>
    <w:rsid w:val="00824A01"/>
    <w:rsid w:val="00826E2C"/>
    <w:rsid w:val="00841794"/>
    <w:rsid w:val="00845749"/>
    <w:rsid w:val="008465D0"/>
    <w:rsid w:val="00847FB7"/>
    <w:rsid w:val="008538BE"/>
    <w:rsid w:val="008610D0"/>
    <w:rsid w:val="00865321"/>
    <w:rsid w:val="008667ED"/>
    <w:rsid w:val="008711AF"/>
    <w:rsid w:val="00875C6B"/>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3660"/>
    <w:rsid w:val="00986D82"/>
    <w:rsid w:val="00990EAC"/>
    <w:rsid w:val="00991A7C"/>
    <w:rsid w:val="009921CA"/>
    <w:rsid w:val="009A0D78"/>
    <w:rsid w:val="009A4EF6"/>
    <w:rsid w:val="009A7319"/>
    <w:rsid w:val="009B0F25"/>
    <w:rsid w:val="009B4519"/>
    <w:rsid w:val="009C129C"/>
    <w:rsid w:val="009C3E7F"/>
    <w:rsid w:val="009C6091"/>
    <w:rsid w:val="009C6828"/>
    <w:rsid w:val="009D1FFA"/>
    <w:rsid w:val="009E1FFA"/>
    <w:rsid w:val="009E40D0"/>
    <w:rsid w:val="009F4D6C"/>
    <w:rsid w:val="009F5A75"/>
    <w:rsid w:val="009F5B44"/>
    <w:rsid w:val="00A12ECF"/>
    <w:rsid w:val="00A13A07"/>
    <w:rsid w:val="00A200F9"/>
    <w:rsid w:val="00A208DF"/>
    <w:rsid w:val="00A24500"/>
    <w:rsid w:val="00A279EE"/>
    <w:rsid w:val="00A378E2"/>
    <w:rsid w:val="00A523CE"/>
    <w:rsid w:val="00A5570D"/>
    <w:rsid w:val="00A57C24"/>
    <w:rsid w:val="00A64E0D"/>
    <w:rsid w:val="00A6529C"/>
    <w:rsid w:val="00A75588"/>
    <w:rsid w:val="00A901A2"/>
    <w:rsid w:val="00A904B9"/>
    <w:rsid w:val="00A9223F"/>
    <w:rsid w:val="00A9591F"/>
    <w:rsid w:val="00A96C40"/>
    <w:rsid w:val="00AA1BFB"/>
    <w:rsid w:val="00AA2EE0"/>
    <w:rsid w:val="00AA6E50"/>
    <w:rsid w:val="00AB41F2"/>
    <w:rsid w:val="00AC2DCE"/>
    <w:rsid w:val="00AC4B6D"/>
    <w:rsid w:val="00AD1B00"/>
    <w:rsid w:val="00AE130B"/>
    <w:rsid w:val="00AE4E02"/>
    <w:rsid w:val="00AE51E2"/>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14FF"/>
    <w:rsid w:val="00BB781A"/>
    <w:rsid w:val="00BD1184"/>
    <w:rsid w:val="00BD14D5"/>
    <w:rsid w:val="00BD6CB1"/>
    <w:rsid w:val="00BD7EA3"/>
    <w:rsid w:val="00BF0815"/>
    <w:rsid w:val="00BF5991"/>
    <w:rsid w:val="00BF7773"/>
    <w:rsid w:val="00C01D1E"/>
    <w:rsid w:val="00C04C7B"/>
    <w:rsid w:val="00C10DA1"/>
    <w:rsid w:val="00C12BD6"/>
    <w:rsid w:val="00C13BBA"/>
    <w:rsid w:val="00C15DA0"/>
    <w:rsid w:val="00C20953"/>
    <w:rsid w:val="00C37470"/>
    <w:rsid w:val="00C4380E"/>
    <w:rsid w:val="00C43C21"/>
    <w:rsid w:val="00C43F7A"/>
    <w:rsid w:val="00C503E0"/>
    <w:rsid w:val="00C5476A"/>
    <w:rsid w:val="00C6147E"/>
    <w:rsid w:val="00C64539"/>
    <w:rsid w:val="00C663F8"/>
    <w:rsid w:val="00C66701"/>
    <w:rsid w:val="00C668D0"/>
    <w:rsid w:val="00C706F2"/>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C2BA0"/>
    <w:rsid w:val="00DE3A48"/>
    <w:rsid w:val="00DE5D29"/>
    <w:rsid w:val="00DF019A"/>
    <w:rsid w:val="00DF24CA"/>
    <w:rsid w:val="00DF4EE9"/>
    <w:rsid w:val="00E01002"/>
    <w:rsid w:val="00E064F9"/>
    <w:rsid w:val="00E065CE"/>
    <w:rsid w:val="00E1398D"/>
    <w:rsid w:val="00E16DA8"/>
    <w:rsid w:val="00E220C3"/>
    <w:rsid w:val="00E22307"/>
    <w:rsid w:val="00E2529F"/>
    <w:rsid w:val="00E2548E"/>
    <w:rsid w:val="00E273B7"/>
    <w:rsid w:val="00E343C0"/>
    <w:rsid w:val="00E44CEA"/>
    <w:rsid w:val="00E47D71"/>
    <w:rsid w:val="00E52C10"/>
    <w:rsid w:val="00E54288"/>
    <w:rsid w:val="00E54B5A"/>
    <w:rsid w:val="00E76A61"/>
    <w:rsid w:val="00E774B0"/>
    <w:rsid w:val="00E902F1"/>
    <w:rsid w:val="00E91304"/>
    <w:rsid w:val="00E93B1B"/>
    <w:rsid w:val="00E9445B"/>
    <w:rsid w:val="00EA0A7C"/>
    <w:rsid w:val="00EA23BD"/>
    <w:rsid w:val="00EA7276"/>
    <w:rsid w:val="00EB3F93"/>
    <w:rsid w:val="00EB7E26"/>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7AC5"/>
    <w:rsid w:val="00EF7BA1"/>
    <w:rsid w:val="00F00395"/>
    <w:rsid w:val="00F07930"/>
    <w:rsid w:val="00F12FBF"/>
    <w:rsid w:val="00F17B87"/>
    <w:rsid w:val="00F2589D"/>
    <w:rsid w:val="00F3466A"/>
    <w:rsid w:val="00F43369"/>
    <w:rsid w:val="00F43E40"/>
    <w:rsid w:val="00F45947"/>
    <w:rsid w:val="00F470D3"/>
    <w:rsid w:val="00F60A5D"/>
    <w:rsid w:val="00F743B0"/>
    <w:rsid w:val="00F80CC5"/>
    <w:rsid w:val="00F93105"/>
    <w:rsid w:val="00FA209D"/>
    <w:rsid w:val="00FB3591"/>
    <w:rsid w:val="00FC1C4F"/>
    <w:rsid w:val="00FC2CA6"/>
    <w:rsid w:val="00FC2CD8"/>
    <w:rsid w:val="00FC4994"/>
    <w:rsid w:val="00FD0741"/>
    <w:rsid w:val="00FE0A1A"/>
    <w:rsid w:val="00FE2121"/>
    <w:rsid w:val="00FE3B42"/>
    <w:rsid w:val="01BB69DA"/>
    <w:rsid w:val="020E1A0C"/>
    <w:rsid w:val="0243462A"/>
    <w:rsid w:val="046451CE"/>
    <w:rsid w:val="05CC5D93"/>
    <w:rsid w:val="074C0973"/>
    <w:rsid w:val="07DB680E"/>
    <w:rsid w:val="08613963"/>
    <w:rsid w:val="092D14CE"/>
    <w:rsid w:val="09563133"/>
    <w:rsid w:val="0BD02B2A"/>
    <w:rsid w:val="0FC53136"/>
    <w:rsid w:val="109116D6"/>
    <w:rsid w:val="12413345"/>
    <w:rsid w:val="12931977"/>
    <w:rsid w:val="13814A1B"/>
    <w:rsid w:val="13C67108"/>
    <w:rsid w:val="1441580E"/>
    <w:rsid w:val="145B1C45"/>
    <w:rsid w:val="154F13DA"/>
    <w:rsid w:val="16651FA1"/>
    <w:rsid w:val="182721AC"/>
    <w:rsid w:val="197D5ABF"/>
    <w:rsid w:val="19A54864"/>
    <w:rsid w:val="1BDE0CAD"/>
    <w:rsid w:val="1C760FBE"/>
    <w:rsid w:val="1FF23D36"/>
    <w:rsid w:val="21ED676D"/>
    <w:rsid w:val="2350060C"/>
    <w:rsid w:val="256516B0"/>
    <w:rsid w:val="25E358EE"/>
    <w:rsid w:val="26FD1903"/>
    <w:rsid w:val="27905A83"/>
    <w:rsid w:val="27BD45FF"/>
    <w:rsid w:val="29DA3D49"/>
    <w:rsid w:val="2A0F4201"/>
    <w:rsid w:val="2AEB1E5A"/>
    <w:rsid w:val="2FF34915"/>
    <w:rsid w:val="328522BE"/>
    <w:rsid w:val="331E4C1A"/>
    <w:rsid w:val="335601C3"/>
    <w:rsid w:val="33F54821"/>
    <w:rsid w:val="35DB54D6"/>
    <w:rsid w:val="37B114AF"/>
    <w:rsid w:val="39BA6599"/>
    <w:rsid w:val="3BD41852"/>
    <w:rsid w:val="3D966143"/>
    <w:rsid w:val="3E2835B7"/>
    <w:rsid w:val="3EBE3EFC"/>
    <w:rsid w:val="422B2661"/>
    <w:rsid w:val="42982300"/>
    <w:rsid w:val="43250476"/>
    <w:rsid w:val="472D2614"/>
    <w:rsid w:val="49343EE8"/>
    <w:rsid w:val="4B1E5A56"/>
    <w:rsid w:val="4E6C5390"/>
    <w:rsid w:val="4F05414C"/>
    <w:rsid w:val="51EC6135"/>
    <w:rsid w:val="572F2943"/>
    <w:rsid w:val="57D83C46"/>
    <w:rsid w:val="586214C2"/>
    <w:rsid w:val="5A364A3F"/>
    <w:rsid w:val="5A622306"/>
    <w:rsid w:val="5AB01723"/>
    <w:rsid w:val="5D5E2859"/>
    <w:rsid w:val="5D8B4F22"/>
    <w:rsid w:val="621F0476"/>
    <w:rsid w:val="63D37DC1"/>
    <w:rsid w:val="655C220D"/>
    <w:rsid w:val="671D7CC1"/>
    <w:rsid w:val="687C70C4"/>
    <w:rsid w:val="69074462"/>
    <w:rsid w:val="6C9B0C01"/>
    <w:rsid w:val="6D257D4C"/>
    <w:rsid w:val="6E2878D0"/>
    <w:rsid w:val="6E546A74"/>
    <w:rsid w:val="6FA67F07"/>
    <w:rsid w:val="71917342"/>
    <w:rsid w:val="75736568"/>
    <w:rsid w:val="773E6275"/>
    <w:rsid w:val="788C0951"/>
    <w:rsid w:val="79882DEC"/>
    <w:rsid w:val="79FE5971"/>
    <w:rsid w:val="7BA6096B"/>
    <w:rsid w:val="7E881CD4"/>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137777-E83E-45A7-986E-D11D66E30C16}">
  <ds:schemaRefs/>
</ds:datastoreItem>
</file>

<file path=docProps/app.xml><?xml version="1.0" encoding="utf-8"?>
<Properties xmlns="http://schemas.openxmlformats.org/officeDocument/2006/extended-properties" xmlns:vt="http://schemas.openxmlformats.org/officeDocument/2006/docPropsVTypes">
  <Template>Normal.dotm</Template>
  <Pages>2</Pages>
  <Words>98</Words>
  <Characters>563</Characters>
  <Lines>4</Lines>
  <Paragraphs>1</Paragraphs>
  <TotalTime>4</TotalTime>
  <ScaleCrop>false</ScaleCrop>
  <LinksUpToDate>false</LinksUpToDate>
  <CharactersWithSpaces>660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李晓璐</cp:lastModifiedBy>
  <cp:lastPrinted>2020-10-28T08:42:37Z</cp:lastPrinted>
  <dcterms:modified xsi:type="dcterms:W3CDTF">2020-10-28T08:42:49Z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