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asciiTheme="minorEastAsia" w:hAnsiTheme="minorEastAsia"/>
          <w:b/>
          <w:sz w:val="32"/>
          <w:szCs w:val="32"/>
        </w:rPr>
      </w:pPr>
      <w:r>
        <w:rPr>
          <w:rFonts w:hint="eastAsia" w:asciiTheme="minorEastAsia" w:hAnsiTheme="minorEastAsia"/>
          <w:b/>
          <w:sz w:val="32"/>
          <w:szCs w:val="32"/>
        </w:rPr>
        <w:t>2020年第22期公募封闭式净值型理财产品</w:t>
      </w:r>
    </w:p>
    <w:p>
      <w:pPr>
        <w:jc w:val="center"/>
        <w:rPr>
          <w:rFonts w:eastAsia="仿宋"/>
          <w:b/>
          <w:sz w:val="24"/>
        </w:rPr>
      </w:pPr>
      <w:r>
        <w:rPr>
          <w:rFonts w:hint="eastAsia" w:asciiTheme="minorEastAsia" w:hAnsiTheme="minorEastAsia"/>
          <w:b/>
          <w:sz w:val="32"/>
          <w:szCs w:val="32"/>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产品名称</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江渝财富“天添金”2020年第22期公募封闭式净值型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产品编号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12020022GFJ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理财系统登记编码</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C1126720000043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产品类型</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产品类别</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内部风险评级</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产品存续规模</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984,273,000.00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业绩比较基准</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产品成立日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2020年3月13日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2021年12月1日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产品托管行</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产品托管账户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346010100102604733</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期末资产净值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1,017,579,266.06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1.0338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期末产品份额累计净值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1.0338 </w:t>
            </w:r>
          </w:p>
        </w:tc>
      </w:tr>
    </w:tbl>
    <w:p>
      <w:pPr>
        <w:spacing w:line="360" w:lineRule="auto"/>
        <w:rPr>
          <w:rFonts w:asciiTheme="minorEastAsia" w:hAnsiTheme="minorEastAsia"/>
          <w:szCs w:val="21"/>
        </w:rPr>
      </w:pPr>
    </w:p>
    <w:p>
      <w:pPr>
        <w:numPr>
          <w:ilvl w:val="0"/>
          <w:numId w:val="2"/>
        </w:numPr>
        <w:spacing w:line="360" w:lineRule="auto"/>
        <w:rPr>
          <w:rFonts w:asciiTheme="minorEastAsia" w:hAnsiTheme="minorEastAsia"/>
          <w:szCs w:val="21"/>
        </w:rPr>
      </w:pP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投资资产种类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固定收益类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1,024,482,486.79</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其中：债券</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74,013,872.57</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同业往来资产</w:t>
            </w:r>
          </w:p>
        </w:tc>
        <w:tc>
          <w:tcPr>
            <w:tcW w:w="1382" w:type="pct"/>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477,050,771.76</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其他债权类资产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473,417,842.46</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权益类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其中：股票</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其他股权类资产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商品及金融衍生品类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其中：商品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金融衍生品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投资资产种类</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799"/>
        <w:gridCol w:w="219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229"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2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97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邦银金融租赁股份有限公司</w:t>
            </w:r>
            <w:r>
              <w:rPr>
                <w:rFonts w:hint="eastAsia" w:ascii="宋体" w:hAnsi="宋体" w:eastAsia="宋体" w:cs="宋体"/>
                <w:color w:val="000000"/>
                <w:kern w:val="0"/>
                <w:sz w:val="18"/>
                <w:szCs w:val="18"/>
              </w:rPr>
              <w:t>同业借款</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311,237,500.00</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30.38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229" w:type="pct"/>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165,812,417.90</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16.18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20豫周口投资ZR001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155,578,602.74</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15.19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18渝重庆大晟公司ZR001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106,119,644.81</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10.36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20渝万盛投资ZR002</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79,196,712.33</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17株高01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52,969,106.40</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17川成都经开国投ZR002</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46,265,917.81</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4.52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17川兴阳投资ZR001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43,809,106.85</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18渝重庆大晟公司ZR001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42,447,857.92</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4.14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229" w:type="pct"/>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20铜梁01</w:t>
            </w:r>
          </w:p>
        </w:tc>
        <w:tc>
          <w:tcPr>
            <w:tcW w:w="1285" w:type="pct"/>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21,044,766.17</w:t>
            </w:r>
          </w:p>
        </w:tc>
        <w:tc>
          <w:tcPr>
            <w:tcW w:w="1667"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 xml:space="preserve">2.05 </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3"/>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5118" w:type="pct"/>
        <w:tblInd w:w="-99" w:type="dxa"/>
        <w:tblLayout w:type="autofit"/>
        <w:tblCellMar>
          <w:top w:w="0" w:type="dxa"/>
          <w:left w:w="0" w:type="dxa"/>
          <w:bottom w:w="0" w:type="dxa"/>
          <w:right w:w="0" w:type="dxa"/>
        </w:tblCellMar>
      </w:tblPr>
      <w:tblGrid>
        <w:gridCol w:w="524"/>
        <w:gridCol w:w="2265"/>
        <w:gridCol w:w="2067"/>
        <w:gridCol w:w="1347"/>
        <w:gridCol w:w="1038"/>
        <w:gridCol w:w="1292"/>
      </w:tblGrid>
      <w:tr>
        <w:tblPrEx>
          <w:tblCellMar>
            <w:top w:w="0" w:type="dxa"/>
            <w:left w:w="0" w:type="dxa"/>
            <w:bottom w:w="0" w:type="dxa"/>
            <w:right w:w="0" w:type="dxa"/>
          </w:tblCellMar>
        </w:tblPrEx>
        <w:trPr>
          <w:trHeight w:val="465"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融资客户</w:t>
            </w:r>
          </w:p>
        </w:tc>
        <w:tc>
          <w:tcPr>
            <w:tcW w:w="12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交易结构</w:t>
            </w:r>
          </w:p>
        </w:tc>
      </w:tr>
      <w:tr>
        <w:tblPrEx>
          <w:tblCellMar>
            <w:top w:w="0" w:type="dxa"/>
            <w:left w:w="0" w:type="dxa"/>
            <w:bottom w:w="0" w:type="dxa"/>
            <w:right w:w="0" w:type="dxa"/>
          </w:tblCellMar>
        </w:tblPrEx>
        <w:trPr>
          <w:trHeight w:val="300"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泸州兴阳投资集团有限公司</w:t>
            </w:r>
          </w:p>
        </w:tc>
        <w:tc>
          <w:tcPr>
            <w:tcW w:w="12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17川兴阳投资ZR001</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630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债权融资计划</w:t>
            </w:r>
          </w:p>
        </w:tc>
      </w:tr>
      <w:tr>
        <w:tblPrEx>
          <w:tblCellMar>
            <w:top w:w="0" w:type="dxa"/>
            <w:left w:w="0" w:type="dxa"/>
            <w:bottom w:w="0" w:type="dxa"/>
            <w:right w:w="0" w:type="dxa"/>
          </w:tblCellMar>
        </w:tblPrEx>
        <w:trPr>
          <w:trHeight w:val="300"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成都经开国投集团有限公司</w:t>
            </w:r>
          </w:p>
        </w:tc>
        <w:tc>
          <w:tcPr>
            <w:tcW w:w="12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17川成都经开国投ZR002</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债权融资计划</w:t>
            </w:r>
          </w:p>
        </w:tc>
      </w:tr>
      <w:tr>
        <w:tblPrEx>
          <w:tblCellMar>
            <w:top w:w="0" w:type="dxa"/>
            <w:left w:w="0" w:type="dxa"/>
            <w:bottom w:w="0" w:type="dxa"/>
            <w:right w:w="0" w:type="dxa"/>
          </w:tblCellMar>
        </w:tblPrEx>
        <w:trPr>
          <w:trHeight w:val="300"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重庆市万盛经济技术开发区开发投资集团有限公司</w:t>
            </w:r>
          </w:p>
        </w:tc>
        <w:tc>
          <w:tcPr>
            <w:tcW w:w="12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20渝万盛投资ZR002</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820</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7.4</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债权融资计划</w:t>
            </w:r>
          </w:p>
        </w:tc>
      </w:tr>
      <w:tr>
        <w:tblPrEx>
          <w:tblCellMar>
            <w:top w:w="0" w:type="dxa"/>
            <w:left w:w="0" w:type="dxa"/>
            <w:bottom w:w="0" w:type="dxa"/>
            <w:right w:w="0" w:type="dxa"/>
          </w:tblCellMar>
        </w:tblPrEx>
        <w:trPr>
          <w:trHeight w:val="300"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重庆大晟资产经营(集团)有限公司</w:t>
            </w:r>
          </w:p>
        </w:tc>
        <w:tc>
          <w:tcPr>
            <w:tcW w:w="12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18渝重庆大晟公司ZR001</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869</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5.98</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债权融资计划</w:t>
            </w:r>
          </w:p>
        </w:tc>
      </w:tr>
      <w:tr>
        <w:tblPrEx>
          <w:tblCellMar>
            <w:top w:w="0" w:type="dxa"/>
            <w:left w:w="0" w:type="dxa"/>
            <w:bottom w:w="0" w:type="dxa"/>
            <w:right w:w="0" w:type="dxa"/>
          </w:tblCellMar>
        </w:tblPrEx>
        <w:trPr>
          <w:trHeight w:val="300" w:hRule="atLeast"/>
        </w:trPr>
        <w:tc>
          <w:tcPr>
            <w:tcW w:w="3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周口市投资集团有限公司</w:t>
            </w:r>
          </w:p>
        </w:tc>
        <w:tc>
          <w:tcPr>
            <w:tcW w:w="12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rPr>
              <w:t>20豫周口投资ZR001</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754</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6.53</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债权融资计划</w:t>
            </w:r>
          </w:p>
        </w:tc>
      </w:tr>
    </w:tbl>
    <w:p>
      <w:pPr>
        <w:numPr>
          <w:ilvl w:val="0"/>
          <w:numId w:val="0"/>
        </w:numPr>
        <w:rPr>
          <w:rFonts w:asciiTheme="minorEastAsia" w:hAnsiTheme="minorEastAsia"/>
          <w:szCs w:val="21"/>
        </w:rPr>
      </w:pPr>
    </w:p>
    <w:p>
      <w:pPr>
        <w:numPr>
          <w:ilvl w:val="0"/>
          <w:numId w:val="3"/>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3"/>
        <w:gridCol w:w="1272"/>
        <w:gridCol w:w="1111"/>
        <w:gridCol w:w="1186"/>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证券简称</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证券代码</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交易数量（张）</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总金额（元）</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关联方名称</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4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5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95"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3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4"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2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rPr>
          <w:rFonts w:asciiTheme="minorEastAsia" w:hAnsiTheme="minorEastAsia"/>
          <w:szCs w:val="21"/>
        </w:rPr>
      </w:pPr>
    </w:p>
    <w:p>
      <w:pPr>
        <w:numPr>
          <w:ilvl w:val="0"/>
          <w:numId w:val="3"/>
        </w:numPr>
        <w:rPr>
          <w:rFonts w:asciiTheme="minorEastAsia" w:hAnsiTheme="minorEastAsia"/>
          <w:szCs w:val="21"/>
        </w:rPr>
      </w:pPr>
      <w:r>
        <w:rPr>
          <w:rFonts w:hint="eastAsia" w:asciiTheme="minorEastAsia" w:hAnsiTheme="minorEastAsia"/>
          <w:szCs w:val="21"/>
        </w:rPr>
        <w:t>收益分配情况</w:t>
      </w:r>
    </w:p>
    <w:p>
      <w:pPr>
        <w:rPr>
          <w:rFonts w:asciiTheme="minorEastAsia" w:hAnsiTheme="minorEastAsia"/>
          <w:szCs w:val="21"/>
        </w:rPr>
      </w:pPr>
      <w:r>
        <w:rPr>
          <w:rFonts w:hint="eastAsia" w:asciiTheme="minorEastAsia" w:hAnsiTheme="minorEastAsia"/>
          <w:szCs w:val="21"/>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份额登记日</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分红日</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现金分红金额</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numPr>
          <w:ilvl w:val="0"/>
          <w:numId w:val="3"/>
        </w:numPr>
        <w:rPr>
          <w:rFonts w:asciiTheme="minorEastAsia" w:hAnsiTheme="minorEastAsia"/>
          <w:szCs w:val="21"/>
        </w:rPr>
      </w:pPr>
      <w:r>
        <w:rPr>
          <w:rFonts w:hint="eastAsia" w:asciiTheme="minorEastAsia" w:hAnsiTheme="minorEastAsia"/>
          <w:szCs w:val="21"/>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原始权益人名称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交易日</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4"/>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（三）本产品自成立至本报告日，没有发生涉诉等损害投资者利益的情形。</w:t>
      </w:r>
    </w:p>
    <w:p>
      <w:pPr>
        <w:rPr>
          <w:rFonts w:hint="eastAsia" w:asciiTheme="minorEastAsia" w:hAnsiTheme="minorEastAsia"/>
          <w:szCs w:val="21"/>
        </w:rPr>
      </w:pPr>
    </w:p>
    <w:p>
      <w:pPr>
        <w:spacing w:line="480" w:lineRule="exact"/>
        <w:rPr>
          <w:rFonts w:asciiTheme="minorEastAsia" w:hAnsiTheme="minorEastAsia"/>
          <w:szCs w:val="21"/>
        </w:rPr>
      </w:pPr>
      <w:bookmarkStart w:id="1" w:name="_GoBack"/>
      <w:bookmarkEnd w:id="1"/>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w:t>
      </w:r>
      <w:r>
        <w:rPr>
          <w:rFonts w:hint="eastAsia" w:asciiTheme="minorEastAsia" w:hAnsiTheme="minorEastAsia"/>
          <w:szCs w:val="21"/>
        </w:rPr>
        <w:t>1年</w:t>
      </w:r>
      <w:r>
        <w:rPr>
          <w:rFonts w:asciiTheme="minorEastAsia" w:hAnsiTheme="minorEastAsia"/>
          <w:szCs w:val="21"/>
        </w:rPr>
        <w:t>1</w:t>
      </w:r>
      <w:r>
        <w:rPr>
          <w:rFonts w:hint="eastAsia" w:asciiTheme="minorEastAsia" w:hAnsiTheme="minorEastAsia"/>
          <w:szCs w:val="21"/>
        </w:rPr>
        <w:t>月</w:t>
      </w:r>
      <w:r>
        <w:rPr>
          <w:rFonts w:hint="eastAsia" w:asciiTheme="minorEastAsia" w:hAnsiTheme="minorEastAsia"/>
          <w:szCs w:val="21"/>
          <w:lang w:val="en-US" w:eastAsia="zh-CN"/>
        </w:rPr>
        <w:t>22</w:t>
      </w:r>
      <w:r>
        <w:rPr>
          <w:rFonts w:hint="eastAsia" w:asciiTheme="minorEastAsia" w:hAnsiTheme="minorEastAsia"/>
          <w:szCs w:val="21"/>
        </w:rPr>
        <w:t>日</w:t>
      </w: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57839"/>
    <w:multiLevelType w:val="singleLevel"/>
    <w:tmpl w:val="A4F57839"/>
    <w:lvl w:ilvl="0" w:tentative="0">
      <w:start w:val="3"/>
      <w:numFmt w:val="chineseCounting"/>
      <w:suff w:val="nothing"/>
      <w:lvlText w:val="%1、"/>
      <w:lvlJc w:val="left"/>
      <w:rPr>
        <w:rFonts w:hint="eastAsia"/>
      </w:rPr>
    </w:lvl>
  </w:abstractNum>
  <w:abstractNum w:abstractNumId="1">
    <w:nsid w:val="FCBA15C9"/>
    <w:multiLevelType w:val="singleLevel"/>
    <w:tmpl w:val="FCBA15C9"/>
    <w:lvl w:ilvl="0" w:tentative="0">
      <w:start w:val="4"/>
      <w:numFmt w:val="chineseCounting"/>
      <w:suff w:val="nothing"/>
      <w:lvlText w:val="%1、"/>
      <w:lvlJc w:val="left"/>
      <w:rPr>
        <w:rFonts w:hint="eastAsia"/>
      </w:rPr>
    </w:lvl>
  </w:abstractNum>
  <w:abstractNum w:abstractNumId="2">
    <w:nsid w:val="0B292D14"/>
    <w:multiLevelType w:val="singleLevel"/>
    <w:tmpl w:val="0B292D14"/>
    <w:lvl w:ilvl="0" w:tentative="0">
      <w:start w:val="3"/>
      <w:numFmt w:val="chineseCounting"/>
      <w:suff w:val="space"/>
      <w:lvlText w:val="（%1）"/>
      <w:lvlJc w:val="left"/>
      <w:rPr>
        <w:rFonts w:hint="eastAsia"/>
      </w:rPr>
    </w:lvl>
  </w:abstractNum>
  <w:abstractNum w:abstractNumId="3">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6CC4"/>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396E"/>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17B43"/>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305C8D"/>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4C13FA"/>
    <w:rsid w:val="21ED676D"/>
    <w:rsid w:val="2350060C"/>
    <w:rsid w:val="25E358EE"/>
    <w:rsid w:val="26FD1903"/>
    <w:rsid w:val="27BD45FF"/>
    <w:rsid w:val="29DA3D49"/>
    <w:rsid w:val="2A0F4201"/>
    <w:rsid w:val="2AEB1E5A"/>
    <w:rsid w:val="2E01239B"/>
    <w:rsid w:val="2FF34915"/>
    <w:rsid w:val="328522BE"/>
    <w:rsid w:val="331E4C1A"/>
    <w:rsid w:val="335601C3"/>
    <w:rsid w:val="33F54821"/>
    <w:rsid w:val="35DB54D6"/>
    <w:rsid w:val="37B114AF"/>
    <w:rsid w:val="39BA6599"/>
    <w:rsid w:val="3A34321A"/>
    <w:rsid w:val="3E2835B7"/>
    <w:rsid w:val="3E83733F"/>
    <w:rsid w:val="3EBE3EFC"/>
    <w:rsid w:val="422B2661"/>
    <w:rsid w:val="42982300"/>
    <w:rsid w:val="43250476"/>
    <w:rsid w:val="46A152BB"/>
    <w:rsid w:val="472D2614"/>
    <w:rsid w:val="49343EE8"/>
    <w:rsid w:val="4B1E5A56"/>
    <w:rsid w:val="4E6C5390"/>
    <w:rsid w:val="4F05414C"/>
    <w:rsid w:val="513721FB"/>
    <w:rsid w:val="514C30D5"/>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FA67F07"/>
    <w:rsid w:val="75736568"/>
    <w:rsid w:val="7624177E"/>
    <w:rsid w:val="773E6275"/>
    <w:rsid w:val="788C0951"/>
    <w:rsid w:val="79882DEC"/>
    <w:rsid w:val="79FE5971"/>
    <w:rsid w:val="7BA6096B"/>
    <w:rsid w:val="7E881CD4"/>
    <w:rsid w:val="7FCF7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Template>
  <Pages>3</Pages>
  <Words>338</Words>
  <Characters>1927</Characters>
  <Lines>16</Lines>
  <Paragraphs>4</Paragraphs>
  <TotalTime>9</TotalTime>
  <ScaleCrop>false</ScaleCrop>
  <LinksUpToDate>false</LinksUpToDate>
  <CharactersWithSpaces>2261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2021-02-20T06:20:56Z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