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asciiTheme="minorEastAsia" w:hAnsiTheme="minorEastAsia"/>
          <w:b/>
          <w:sz w:val="32"/>
          <w:szCs w:val="32"/>
        </w:rPr>
      </w:pPr>
      <w:r>
        <w:rPr>
          <w:rFonts w:hint="eastAsia" w:asciiTheme="minorEastAsia" w:hAnsiTheme="minorEastAsia"/>
          <w:b/>
          <w:sz w:val="32"/>
          <w:szCs w:val="32"/>
        </w:rPr>
        <w:t>2020年第23期公募封闭式净值型理财产品</w:t>
      </w:r>
    </w:p>
    <w:p>
      <w:pPr>
        <w:jc w:val="center"/>
        <w:rPr>
          <w:rFonts w:eastAsia="仿宋"/>
          <w:b/>
          <w:sz w:val="24"/>
        </w:rPr>
      </w:pPr>
      <w:r>
        <w:rPr>
          <w:rFonts w:hint="eastAsia" w:asciiTheme="minorEastAsia" w:hAnsiTheme="minorEastAsia"/>
          <w:b/>
          <w:sz w:val="32"/>
          <w:szCs w:val="32"/>
        </w:rPr>
        <w:t>2020年第四季度投资管理报告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产品名称</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江渝财富“天添金”2020年第23期公募封闭式净值型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产品编号</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12020023GFJ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理财系统登记编码</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C1126720000044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产品类型</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产品类别</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内部风险评级</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产品存续规模</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413,025,000.00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业绩比较基准</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产品成立日</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2020年3月20日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产品到期日</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2021年5月11日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产品托管行</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产品托管账户</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346010100102604855</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期末资产净值</w:t>
            </w:r>
          </w:p>
        </w:tc>
        <w:tc>
          <w:tcPr>
            <w:tcW w:w="5466"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426,002,905.68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期末产品份额净值</w:t>
            </w:r>
          </w:p>
        </w:tc>
        <w:tc>
          <w:tcPr>
            <w:tcW w:w="5466"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1.0314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期末产品份额累计净值</w:t>
            </w:r>
          </w:p>
        </w:tc>
        <w:tc>
          <w:tcPr>
            <w:tcW w:w="5466"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1.0314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532"/>
        <w:gridCol w:w="2299"/>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投资资产种类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金额（元）</w:t>
            </w:r>
          </w:p>
        </w:tc>
        <w:tc>
          <w:tcPr>
            <w:tcW w:w="1673"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固定收益类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429,095,511.04</w:t>
            </w:r>
          </w:p>
        </w:tc>
        <w:tc>
          <w:tcPr>
            <w:tcW w:w="1673"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其中：债券</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3"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同业往来资产</w:t>
            </w:r>
          </w:p>
        </w:tc>
        <w:tc>
          <w:tcPr>
            <w:tcW w:w="1382" w:type="pct"/>
          </w:tcPr>
          <w:p>
            <w:pPr>
              <w:widowControl/>
              <w:jc w:val="center"/>
              <w:textAlignment w:val="top"/>
              <w:rPr>
                <w:rFonts w:ascii="Calibri" w:hAnsi="Calibri" w:eastAsia="宋体" w:cs="Calibri"/>
                <w:color w:val="000000"/>
                <w:szCs w:val="21"/>
              </w:rPr>
            </w:pPr>
            <w:r>
              <w:rPr>
                <w:rFonts w:ascii="宋体" w:hAnsi="宋体" w:eastAsia="宋体" w:cs="宋体"/>
                <w:color w:val="000000"/>
                <w:kern w:val="0"/>
                <w:sz w:val="18"/>
                <w:szCs w:val="18"/>
              </w:rPr>
              <w:t>266,265,957.62</w:t>
            </w:r>
          </w:p>
        </w:tc>
        <w:tc>
          <w:tcPr>
            <w:tcW w:w="1673"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62.05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其他债权类资产</w:t>
            </w:r>
          </w:p>
        </w:tc>
        <w:tc>
          <w:tcPr>
            <w:tcW w:w="1382" w:type="pct"/>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162,829,553.42</w:t>
            </w:r>
          </w:p>
        </w:tc>
        <w:tc>
          <w:tcPr>
            <w:tcW w:w="1673"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权益类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1673"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其中：股票</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3"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其他股权类资产</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3"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商品及金融衍生品类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1673"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其中：商品</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3"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金融衍生品</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3"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708"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投资资产种类</w:t>
            </w:r>
          </w:p>
        </w:tc>
        <w:tc>
          <w:tcPr>
            <w:tcW w:w="1110"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金额（元）</w:t>
            </w:r>
          </w:p>
        </w:tc>
        <w:tc>
          <w:tcPr>
            <w:tcW w:w="175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708"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10"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75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3800"/>
        <w:gridCol w:w="2191"/>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2229"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资产名称</w:t>
            </w:r>
          </w:p>
        </w:tc>
        <w:tc>
          <w:tcPr>
            <w:tcW w:w="12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金额（元）</w:t>
            </w:r>
          </w:p>
        </w:tc>
        <w:tc>
          <w:tcPr>
            <w:tcW w:w="978"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22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江南金融租赁股份有限公司</w:t>
            </w:r>
            <w:r>
              <w:rPr>
                <w:rFonts w:hint="eastAsia" w:ascii="宋体" w:hAnsi="宋体" w:eastAsia="宋体" w:cs="宋体"/>
                <w:color w:val="000000"/>
                <w:kern w:val="0"/>
                <w:sz w:val="18"/>
                <w:szCs w:val="18"/>
              </w:rPr>
              <w:t>同业借款</w:t>
            </w:r>
          </w:p>
        </w:tc>
        <w:tc>
          <w:tcPr>
            <w:tcW w:w="1285"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251,275,000.00</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58.56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22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19德达城建02</w:t>
            </w:r>
          </w:p>
        </w:tc>
        <w:tc>
          <w:tcPr>
            <w:tcW w:w="1285"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41,920,000.00</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22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19海曙广聚01</w:t>
            </w:r>
          </w:p>
        </w:tc>
        <w:tc>
          <w:tcPr>
            <w:tcW w:w="1285"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40,462,553.42</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22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19徐州广弘01</w:t>
            </w:r>
          </w:p>
        </w:tc>
        <w:tc>
          <w:tcPr>
            <w:tcW w:w="1285"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40,406,000.00</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22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19株洲国投02</w:t>
            </w:r>
          </w:p>
        </w:tc>
        <w:tc>
          <w:tcPr>
            <w:tcW w:w="1285"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40,041,000.00</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2229" w:type="pct"/>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银行存款</w:t>
            </w:r>
          </w:p>
        </w:tc>
        <w:tc>
          <w:tcPr>
            <w:tcW w:w="1285"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14,990,957.62</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3.49</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5118" w:type="pct"/>
        <w:tblInd w:w="-99" w:type="dxa"/>
        <w:tblLayout w:type="autofit"/>
        <w:tblCellMar>
          <w:top w:w="0" w:type="dxa"/>
          <w:left w:w="0" w:type="dxa"/>
          <w:bottom w:w="0" w:type="dxa"/>
          <w:right w:w="0" w:type="dxa"/>
        </w:tblCellMar>
      </w:tblPr>
      <w:tblGrid>
        <w:gridCol w:w="758"/>
        <w:gridCol w:w="2374"/>
        <w:gridCol w:w="1725"/>
        <w:gridCol w:w="1347"/>
        <w:gridCol w:w="1038"/>
        <w:gridCol w:w="1291"/>
      </w:tblGrid>
      <w:tr>
        <w:tblPrEx>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139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融资客户</w:t>
            </w:r>
          </w:p>
        </w:tc>
        <w:tc>
          <w:tcPr>
            <w:tcW w:w="10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项目名称</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sz w:val="18"/>
                <w:szCs w:val="18"/>
              </w:rPr>
              <w:t>年化收益率（%）</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交易结构</w:t>
            </w:r>
          </w:p>
        </w:tc>
      </w:tr>
      <w:tr>
        <w:tblPrEx>
          <w:tblCellMar>
            <w:top w:w="0" w:type="dxa"/>
            <w:left w:w="0" w:type="dxa"/>
            <w:bottom w:w="0" w:type="dxa"/>
            <w:right w:w="0" w:type="dxa"/>
          </w:tblCellMar>
        </w:tblPrEx>
        <w:trPr>
          <w:trHeight w:val="300"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1</w:t>
            </w:r>
          </w:p>
        </w:tc>
        <w:tc>
          <w:tcPr>
            <w:tcW w:w="139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江南金融租赁股份有限公司</w:t>
            </w:r>
          </w:p>
        </w:tc>
        <w:tc>
          <w:tcPr>
            <w:tcW w:w="10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江南租赁</w:t>
            </w:r>
            <w:r>
              <w:rPr>
                <w:rFonts w:hint="eastAsia" w:ascii="宋体" w:hAnsi="宋体" w:eastAsia="宋体" w:cs="宋体"/>
                <w:color w:val="000000"/>
                <w:kern w:val="0"/>
                <w:sz w:val="18"/>
                <w:szCs w:val="18"/>
                <w:lang w:val="en-US" w:eastAsia="zh-CN"/>
              </w:rPr>
              <w:t>同业借款</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130</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5.10</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同业借款</w:t>
            </w:r>
          </w:p>
        </w:tc>
      </w:tr>
    </w:tbl>
    <w:p>
      <w:pPr>
        <w:numPr>
          <w:ilvl w:val="0"/>
          <w:numId w:val="0"/>
        </w:numPr>
        <w:rPr>
          <w:rFonts w:asciiTheme="minorEastAsia" w:hAnsiTheme="minorEastAsia"/>
          <w:szCs w:val="21"/>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13"/>
        <w:gridCol w:w="1272"/>
        <w:gridCol w:w="1111"/>
        <w:gridCol w:w="1186"/>
        <w:gridCol w:w="1080"/>
        <w:gridCol w:w="1320"/>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65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证券简称</w:t>
            </w:r>
          </w:p>
        </w:tc>
        <w:tc>
          <w:tcPr>
            <w:tcW w:w="746"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资产类别</w:t>
            </w:r>
          </w:p>
        </w:tc>
        <w:tc>
          <w:tcPr>
            <w:tcW w:w="651"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证券代码</w:t>
            </w:r>
          </w:p>
        </w:tc>
        <w:tc>
          <w:tcPr>
            <w:tcW w:w="695"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交易数量（张）</w:t>
            </w:r>
          </w:p>
        </w:tc>
        <w:tc>
          <w:tcPr>
            <w:tcW w:w="63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总金额（元）</w:t>
            </w:r>
          </w:p>
        </w:tc>
        <w:tc>
          <w:tcPr>
            <w:tcW w:w="77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关联方名称</w:t>
            </w:r>
          </w:p>
        </w:tc>
        <w:tc>
          <w:tcPr>
            <w:tcW w:w="529"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5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46"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51"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95"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7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29"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hint="default" w:asciiTheme="minorEastAsia" w:hAnsiTheme="minorEastAsia" w:eastAsiaTheme="minorEastAsia"/>
          <w:szCs w:val="21"/>
          <w:lang w:val="en-US" w:eastAsia="zh-CN"/>
        </w:rPr>
      </w:pPr>
      <w:r>
        <w:rPr>
          <w:rFonts w:hint="eastAsia" w:asciiTheme="minorEastAsia" w:hAnsiTheme="minorEastAsia"/>
          <w:sz w:val="18"/>
          <w:szCs w:val="18"/>
        </w:rPr>
        <w:t>备注：上述资产金额为该期产品</w:t>
      </w:r>
      <w:r>
        <w:rPr>
          <w:rFonts w:hint="eastAsia" w:asciiTheme="minorEastAsia" w:hAnsiTheme="minorEastAsia"/>
          <w:sz w:val="18"/>
          <w:szCs w:val="18"/>
          <w:lang w:val="en-US" w:eastAsia="zh-CN"/>
        </w:rPr>
        <w:t>买入成本</w:t>
      </w:r>
    </w:p>
    <w:p>
      <w:pPr>
        <w:rPr>
          <w:rFonts w:asciiTheme="minorEastAsia" w:hAnsiTheme="minorEastAsia"/>
          <w:szCs w:val="21"/>
        </w:rPr>
      </w:pPr>
    </w:p>
    <w:p>
      <w:pPr>
        <w:numPr>
          <w:ilvl w:val="0"/>
          <w:numId w:val="2"/>
        </w:numPr>
        <w:rPr>
          <w:rFonts w:asciiTheme="minorEastAsia" w:hAnsiTheme="minorEastAsia"/>
          <w:szCs w:val="21"/>
        </w:rPr>
      </w:pPr>
      <w:r>
        <w:rPr>
          <w:rFonts w:hint="eastAsia" w:asciiTheme="minorEastAsia" w:hAnsiTheme="minorEastAsia"/>
          <w:szCs w:val="21"/>
        </w:rPr>
        <w:t>收益分配情况</w:t>
      </w:r>
    </w:p>
    <w:p>
      <w:pPr>
        <w:rPr>
          <w:rFonts w:asciiTheme="minorEastAsia" w:hAnsiTheme="minorEastAsia"/>
          <w:szCs w:val="21"/>
        </w:rPr>
      </w:pPr>
      <w:r>
        <w:rPr>
          <w:rFonts w:hint="eastAsia" w:asciiTheme="minorEastAsia" w:hAnsiTheme="minorEastAsia"/>
          <w:szCs w:val="21"/>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份额登记日</w:t>
            </w:r>
          </w:p>
        </w:tc>
        <w:tc>
          <w:tcPr>
            <w:tcW w:w="1903" w:type="dxa"/>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分红日</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现金分红金额</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asciiTheme="minorEastAsia" w:hAnsiTheme="minorEastAsia"/>
          <w:szCs w:val="21"/>
        </w:rPr>
      </w:pPr>
    </w:p>
    <w:p>
      <w:pPr>
        <w:numPr>
          <w:ilvl w:val="0"/>
          <w:numId w:val="2"/>
        </w:numPr>
        <w:rPr>
          <w:rFonts w:asciiTheme="minorEastAsia" w:hAnsiTheme="minorEastAsia"/>
          <w:szCs w:val="21"/>
        </w:rPr>
      </w:pPr>
      <w:r>
        <w:rPr>
          <w:rFonts w:hint="eastAsia" w:asciiTheme="minorEastAsia" w:hAnsiTheme="minorEastAsia"/>
          <w:szCs w:val="21"/>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资产名称</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原始权益人名称</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交易日</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（三）本产品自成立至本报告日，没有发生涉诉等损害投资者利益的情形。</w:t>
      </w:r>
    </w:p>
    <w:p>
      <w:pPr>
        <w:rPr>
          <w:rFonts w:hint="eastAsia" w:asciiTheme="minorEastAsia" w:hAnsiTheme="minorEastAsia"/>
          <w:szCs w:val="21"/>
        </w:rPr>
      </w:pPr>
    </w:p>
    <w:p>
      <w:pPr>
        <w:spacing w:line="480" w:lineRule="exact"/>
        <w:rPr>
          <w:rFonts w:asciiTheme="minorEastAsia" w:hAnsiTheme="minorEastAsia"/>
          <w:szCs w:val="21"/>
        </w:rPr>
      </w:pPr>
      <w:bookmarkStart w:id="1" w:name="_GoBack"/>
      <w:bookmarkEnd w:id="1"/>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w:t>
      </w:r>
      <w:r>
        <w:rPr>
          <w:rFonts w:hint="eastAsia" w:asciiTheme="minorEastAsia" w:hAnsiTheme="minorEastAsia"/>
          <w:szCs w:val="21"/>
        </w:rPr>
        <w:t>1年</w:t>
      </w:r>
      <w:r>
        <w:rPr>
          <w:rFonts w:asciiTheme="minorEastAsia" w:hAnsiTheme="minorEastAsia"/>
          <w:szCs w:val="21"/>
        </w:rPr>
        <w:t>1</w:t>
      </w:r>
      <w:r>
        <w:rPr>
          <w:rFonts w:hint="eastAsia" w:asciiTheme="minorEastAsia" w:hAnsiTheme="minorEastAsia"/>
          <w:szCs w:val="21"/>
        </w:rPr>
        <w:t>月</w:t>
      </w:r>
      <w:r>
        <w:rPr>
          <w:rFonts w:hint="eastAsia" w:asciiTheme="minorEastAsia" w:hAnsiTheme="minorEastAsia"/>
          <w:szCs w:val="21"/>
          <w:lang w:val="en-US" w:eastAsia="zh-CN"/>
        </w:rPr>
        <w:t>22</w:t>
      </w:r>
      <w:r>
        <w:rPr>
          <w:rFonts w:hint="eastAsia" w:asciiTheme="minorEastAsia" w:hAnsiTheme="minorEastAsia"/>
          <w:szCs w:val="21"/>
        </w:rPr>
        <w:t>日</w:t>
      </w:r>
    </w:p>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
      <w:pPr>
        <w:rPr>
          <w:rFonts w:asciiTheme="minorEastAsia" w:hAnsiTheme="minorEastAsia"/>
          <w:szCs w:val="21"/>
        </w:rPr>
      </w:pPr>
    </w:p>
    <w:p>
      <w:pPr>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5153"/>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63EA9"/>
    <w:rsid w:val="00B73F0A"/>
    <w:rsid w:val="00B74D34"/>
    <w:rsid w:val="00B7566F"/>
    <w:rsid w:val="00B75B09"/>
    <w:rsid w:val="00B765E7"/>
    <w:rsid w:val="00B77AA9"/>
    <w:rsid w:val="00B80A88"/>
    <w:rsid w:val="00B81E55"/>
    <w:rsid w:val="00B83654"/>
    <w:rsid w:val="00B84936"/>
    <w:rsid w:val="00B84B5E"/>
    <w:rsid w:val="00B85118"/>
    <w:rsid w:val="00B87B3F"/>
    <w:rsid w:val="00B93C6E"/>
    <w:rsid w:val="00BA14FF"/>
    <w:rsid w:val="00BB34DE"/>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92D14CE"/>
    <w:rsid w:val="09563133"/>
    <w:rsid w:val="0BD02B2A"/>
    <w:rsid w:val="0FC53136"/>
    <w:rsid w:val="109116D6"/>
    <w:rsid w:val="12413345"/>
    <w:rsid w:val="12931977"/>
    <w:rsid w:val="13814A1B"/>
    <w:rsid w:val="1441580E"/>
    <w:rsid w:val="145B1C45"/>
    <w:rsid w:val="154F13DA"/>
    <w:rsid w:val="182721AC"/>
    <w:rsid w:val="197D5ABF"/>
    <w:rsid w:val="19A54864"/>
    <w:rsid w:val="1BDE0CAD"/>
    <w:rsid w:val="1C760FBE"/>
    <w:rsid w:val="1FF23D36"/>
    <w:rsid w:val="21ED676D"/>
    <w:rsid w:val="2350060C"/>
    <w:rsid w:val="25E358EE"/>
    <w:rsid w:val="26FD1903"/>
    <w:rsid w:val="27BD45FF"/>
    <w:rsid w:val="29DA3D49"/>
    <w:rsid w:val="2A0F4201"/>
    <w:rsid w:val="2AEB1E5A"/>
    <w:rsid w:val="2D0C67F1"/>
    <w:rsid w:val="2FF34915"/>
    <w:rsid w:val="328522BE"/>
    <w:rsid w:val="331E4C1A"/>
    <w:rsid w:val="335601C3"/>
    <w:rsid w:val="33F54821"/>
    <w:rsid w:val="35DB54D6"/>
    <w:rsid w:val="36EC616C"/>
    <w:rsid w:val="37B114AF"/>
    <w:rsid w:val="39BA6599"/>
    <w:rsid w:val="3E2835B7"/>
    <w:rsid w:val="3EBE3EFC"/>
    <w:rsid w:val="422B2661"/>
    <w:rsid w:val="42982300"/>
    <w:rsid w:val="43250476"/>
    <w:rsid w:val="472D2614"/>
    <w:rsid w:val="48DA2A90"/>
    <w:rsid w:val="49325601"/>
    <w:rsid w:val="49343EE8"/>
    <w:rsid w:val="4B1E5A56"/>
    <w:rsid w:val="4E6C5390"/>
    <w:rsid w:val="4F05414C"/>
    <w:rsid w:val="51EC6135"/>
    <w:rsid w:val="572F2943"/>
    <w:rsid w:val="57D83C46"/>
    <w:rsid w:val="586214C2"/>
    <w:rsid w:val="5A622306"/>
    <w:rsid w:val="5AB01723"/>
    <w:rsid w:val="5D5E2859"/>
    <w:rsid w:val="5D8B4F22"/>
    <w:rsid w:val="5E5447C8"/>
    <w:rsid w:val="621F0476"/>
    <w:rsid w:val="63D37DC1"/>
    <w:rsid w:val="671D7CC1"/>
    <w:rsid w:val="687C70C4"/>
    <w:rsid w:val="69074462"/>
    <w:rsid w:val="6C9B0C01"/>
    <w:rsid w:val="6E546A74"/>
    <w:rsid w:val="6FA67F07"/>
    <w:rsid w:val="712B7DAD"/>
    <w:rsid w:val="75736568"/>
    <w:rsid w:val="773E6275"/>
    <w:rsid w:val="788C0951"/>
    <w:rsid w:val="79882DEC"/>
    <w:rsid w:val="79FE5971"/>
    <w:rsid w:val="7BA6096B"/>
    <w:rsid w:val="7E881CD4"/>
    <w:rsid w:val="7FCF7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unhideWhenUsed/>
    <w:qFormat/>
    <w:uiPriority w:val="99"/>
    <w:rPr>
      <w:color w:val="0563C1" w:themeColor="hyperlink"/>
      <w:u w:val="single"/>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Template>
  <Pages>3</Pages>
  <Words>311</Words>
  <Characters>1777</Characters>
  <Lines>14</Lines>
  <Paragraphs>4</Paragraphs>
  <TotalTime>1</TotalTime>
  <ScaleCrop>false</ScaleCrop>
  <LinksUpToDate>false</LinksUpToDate>
  <CharactersWithSpaces>2084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2021-02-20T06:21:20Z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