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2D902" w14:textId="77777777" w:rsidR="00AE2277" w:rsidRDefault="009734E9">
      <w:pPr>
        <w:spacing w:line="360" w:lineRule="auto"/>
        <w:rPr>
          <w:rFonts w:ascii="Times New Roman" w:eastAsia="方正仿宋_GBK" w:hAnsi="Times New Roman" w:cs="Times New Roman"/>
          <w:sz w:val="32"/>
          <w:szCs w:val="32"/>
        </w:rPr>
      </w:pPr>
      <w:bookmarkStart w:id="0" w:name="_Hlk83566883"/>
      <w:r>
        <w:rPr>
          <w:rFonts w:ascii="方正小标宋_GBK" w:eastAsia="方正小标宋_GBK" w:hAnsi="方正小标宋_GBK" w:cs="方正小标宋_GBK" w:hint="eastAsia"/>
          <w:b/>
          <w:color w:val="000000"/>
          <w:kern w:val="0"/>
          <w:sz w:val="44"/>
          <w:szCs w:val="44"/>
          <w:lang w:bidi="ar"/>
        </w:rPr>
        <w:t>关于部分理财产品变更产品管理人的公告</w:t>
      </w:r>
    </w:p>
    <w:bookmarkEnd w:id="0"/>
    <w:p w14:paraId="5CDBE84F" w14:textId="77777777" w:rsidR="00AE2277" w:rsidRDefault="009734E9">
      <w:pPr>
        <w:spacing w:line="360" w:lineRule="auto"/>
        <w:rPr>
          <w:rFonts w:ascii="Times New Roman" w:eastAsia="方正仿宋_GBK" w:hAnsi="Times New Roman" w:cs="Times New Roman"/>
          <w:sz w:val="32"/>
          <w:szCs w:val="32"/>
        </w:rPr>
      </w:pPr>
      <w:r>
        <w:rPr>
          <w:rFonts w:ascii="Times New Roman" w:eastAsia="方正仿宋_GBK" w:hAnsi="Times New Roman" w:cs="Times New Roman"/>
          <w:sz w:val="32"/>
          <w:szCs w:val="32"/>
        </w:rPr>
        <w:t>尊敬的投资者：</w:t>
      </w:r>
    </w:p>
    <w:p w14:paraId="7B6BFC95" w14:textId="77777777" w:rsidR="00AE2277" w:rsidRDefault="009734E9">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您好！</w:t>
      </w:r>
    </w:p>
    <w:p w14:paraId="78C5D0D1" w14:textId="77777777" w:rsidR="00AE2277" w:rsidRDefault="009734E9">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根据《关于规范金融机构资产管理业务的指导意见》《商业银行理财业务监督管理办法》《商业银行理财子公司管理办法》</w:t>
      </w:r>
      <w:r>
        <w:rPr>
          <w:rFonts w:ascii="Times New Roman" w:eastAsia="方正仿宋_GBK" w:hAnsi="Times New Roman" w:cs="Times New Roman" w:hint="eastAsia"/>
          <w:sz w:val="32"/>
          <w:szCs w:val="32"/>
        </w:rPr>
        <w:t>及相关规定</w:t>
      </w:r>
      <w:r>
        <w:rPr>
          <w:rFonts w:ascii="Times New Roman" w:eastAsia="方正仿宋_GBK" w:hAnsi="Times New Roman" w:cs="Times New Roman"/>
          <w:sz w:val="32"/>
          <w:szCs w:val="32"/>
        </w:rPr>
        <w:t>，重庆农村商业银行股份有限公司设立了渝农商理财有限责任公司。</w:t>
      </w:r>
      <w:proofErr w:type="gramStart"/>
      <w:r>
        <w:rPr>
          <w:rFonts w:ascii="Times New Roman" w:eastAsia="方正仿宋_GBK" w:hAnsi="Times New Roman" w:cs="Times New Roman"/>
          <w:sz w:val="32"/>
          <w:szCs w:val="32"/>
        </w:rPr>
        <w:t>渝</w:t>
      </w:r>
      <w:proofErr w:type="gramEnd"/>
      <w:r>
        <w:rPr>
          <w:rFonts w:ascii="Times New Roman" w:eastAsia="方正仿宋_GBK" w:hAnsi="Times New Roman" w:cs="Times New Roman"/>
          <w:sz w:val="32"/>
          <w:szCs w:val="32"/>
        </w:rPr>
        <w:t>农商理财有限责任公司于</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月底成立，作为重庆农村商业银行股份有限公司全资子公司，专业从事理财产品发行、投资管理、理财顾问和咨询等相关业务。</w:t>
      </w:r>
    </w:p>
    <w:p w14:paraId="57E8E952" w14:textId="77777777" w:rsidR="00AE2277" w:rsidRDefault="009734E9">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为保障理财业务平稳、合</w:t>
      </w:r>
      <w:proofErr w:type="gramStart"/>
      <w:r>
        <w:rPr>
          <w:rFonts w:ascii="Times New Roman" w:eastAsia="方正仿宋_GBK" w:hAnsi="Times New Roman" w:cs="Times New Roman"/>
          <w:sz w:val="32"/>
          <w:szCs w:val="32"/>
        </w:rPr>
        <w:t>规</w:t>
      </w:r>
      <w:proofErr w:type="gramEnd"/>
      <w:r>
        <w:rPr>
          <w:rFonts w:ascii="Times New Roman" w:eastAsia="方正仿宋_GBK" w:hAnsi="Times New Roman" w:cs="Times New Roman"/>
          <w:sz w:val="32"/>
          <w:szCs w:val="32"/>
        </w:rPr>
        <w:t>、健康发展，重庆农村商业银行股份有限公司拟将部分前期发行的理财产品分批有序地划转至</w:t>
      </w:r>
      <w:proofErr w:type="gramStart"/>
      <w:r>
        <w:rPr>
          <w:rFonts w:ascii="Times New Roman" w:eastAsia="方正仿宋_GBK" w:hAnsi="Times New Roman" w:cs="Times New Roman"/>
          <w:sz w:val="32"/>
          <w:szCs w:val="32"/>
        </w:rPr>
        <w:t>渝</w:t>
      </w:r>
      <w:proofErr w:type="gramEnd"/>
      <w:r>
        <w:rPr>
          <w:rFonts w:ascii="Times New Roman" w:eastAsia="方正仿宋_GBK" w:hAnsi="Times New Roman" w:cs="Times New Roman"/>
          <w:sz w:val="32"/>
          <w:szCs w:val="32"/>
        </w:rPr>
        <w:t>农商理财有限责任公司管理。为明确理财产品划转的相关安排，保护投资者合法权益，现公告如下：</w:t>
      </w:r>
    </w:p>
    <w:p w14:paraId="1D4BD152" w14:textId="77777777" w:rsidR="00AE2277" w:rsidRDefault="009734E9">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本批次</w:t>
      </w:r>
      <w:r>
        <w:rPr>
          <w:rFonts w:ascii="Times New Roman" w:eastAsia="方正仿宋_GBK" w:hAnsi="Times New Roman" w:cs="Times New Roman"/>
          <w:sz w:val="32"/>
          <w:szCs w:val="32"/>
        </w:rPr>
        <w:t>划转理财产品（具体划转产品清单详见附件）将于</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13</w:t>
      </w:r>
      <w:r>
        <w:rPr>
          <w:rFonts w:ascii="Times New Roman" w:eastAsia="方正仿宋_GBK" w:hAnsi="Times New Roman" w:cs="Times New Roman"/>
          <w:sz w:val="32"/>
          <w:szCs w:val="32"/>
        </w:rPr>
        <w:t>日（划转当日）划转至</w:t>
      </w:r>
      <w:proofErr w:type="gramStart"/>
      <w:r>
        <w:rPr>
          <w:rFonts w:ascii="Times New Roman" w:eastAsia="方正仿宋_GBK" w:hAnsi="Times New Roman" w:cs="Times New Roman"/>
          <w:sz w:val="32"/>
          <w:szCs w:val="32"/>
        </w:rPr>
        <w:t>渝</w:t>
      </w:r>
      <w:proofErr w:type="gramEnd"/>
      <w:r>
        <w:rPr>
          <w:rFonts w:ascii="Times New Roman" w:eastAsia="方正仿宋_GBK" w:hAnsi="Times New Roman" w:cs="Times New Roman"/>
          <w:sz w:val="32"/>
          <w:szCs w:val="32"/>
        </w:rPr>
        <w:t>农商理财有限</w:t>
      </w:r>
      <w:r>
        <w:rPr>
          <w:rFonts w:ascii="Times New Roman" w:eastAsia="方正仿宋_GBK" w:hAnsi="Times New Roman" w:cs="Times New Roman"/>
          <w:sz w:val="32"/>
          <w:szCs w:val="32"/>
        </w:rPr>
        <w:t>责任公司管理。该批划转理财产品完成划转后，所对应的理财产品协议书</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产品说明书、风险揭示书和客户权益须知</w:t>
      </w:r>
      <w:r>
        <w:rPr>
          <w:rFonts w:ascii="Times New Roman" w:eastAsia="方正仿宋_GBK" w:hAnsi="Times New Roman" w:cs="Times New Roman" w:hint="eastAsia"/>
          <w:sz w:val="32"/>
          <w:szCs w:val="32"/>
        </w:rPr>
        <w:t>等销售文件将一并更新，其</w:t>
      </w:r>
      <w:r>
        <w:rPr>
          <w:rFonts w:ascii="Times New Roman" w:eastAsia="方正仿宋_GBK" w:hAnsi="Times New Roman" w:cs="Times New Roman"/>
          <w:sz w:val="32"/>
          <w:szCs w:val="32"/>
        </w:rPr>
        <w:t>项下由重庆农村商业银行股份有限公司作为理财产品管理人享有的权利和承担的义务，将于划转当日自动、全部转由渝农商理财有限责任公司承继，理财</w:t>
      </w:r>
      <w:r>
        <w:rPr>
          <w:rFonts w:ascii="Times New Roman" w:eastAsia="方正仿宋_GBK" w:hAnsi="Times New Roman" w:cs="Times New Roman"/>
          <w:sz w:val="32"/>
          <w:szCs w:val="32"/>
        </w:rPr>
        <w:lastRenderedPageBreak/>
        <w:t>产品管理人相应变更为渝农商理财有限责任公司。产品管理人的政策性变更与相应产品划转，不会对产品投资运作产生实质性影响，所有划转产品均处于正常运作状态。</w:t>
      </w:r>
    </w:p>
    <w:p w14:paraId="00AA0B2A" w14:textId="77777777" w:rsidR="00AE2277" w:rsidRDefault="009734E9">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在理财产品划转过程中，渝农商理财有限责任公司将切实履行理财产品登记手续，投资者可在中国理财网上查询到相</w:t>
      </w:r>
      <w:r>
        <w:rPr>
          <w:rFonts w:ascii="Times New Roman" w:eastAsia="方正仿宋_GBK" w:hAnsi="Times New Roman" w:cs="Times New Roman"/>
          <w:sz w:val="32"/>
          <w:szCs w:val="32"/>
        </w:rPr>
        <w:t>关产品信息，划转后产品在全国银行业理财信息登记系统中的募集起始日期、募集结束日期、产品起始日期将显示为划转当日</w:t>
      </w:r>
      <w:r>
        <w:rPr>
          <w:rFonts w:ascii="Times New Roman" w:eastAsia="方正仿宋_GBK" w:hAnsi="Times New Roman" w:cs="Times New Roman" w:hint="eastAsia"/>
          <w:sz w:val="32"/>
          <w:szCs w:val="32"/>
        </w:rPr>
        <w:t>，但产品的实际起始日和存续期限不受该等变更影响。</w:t>
      </w:r>
      <w:r>
        <w:rPr>
          <w:rFonts w:ascii="Times New Roman" w:eastAsia="方正仿宋_GBK" w:hAnsi="Times New Roman" w:cs="Times New Roman"/>
          <w:sz w:val="32"/>
          <w:szCs w:val="32"/>
        </w:rPr>
        <w:t>为了充分保障投资者利益与投资安全，渝农商理财有限责任公司将自动为划转产品的持有客户开立份额登记账户。</w:t>
      </w:r>
    </w:p>
    <w:p w14:paraId="167AEB9B" w14:textId="77777777" w:rsidR="00AE2277" w:rsidRDefault="009734E9">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产品划转后，渝农商理财有限责任公司将本着勤勉尽职的原则持续为投资者提供专业的理财服务，重庆农村商业银行股份有限公司将作为产品代销机构，继续为投资者提供全面专业的财富管理服务。如投资者对产品管理人变更有疑问，可通过电话方式咨询</w:t>
      </w:r>
      <w:r>
        <w:rPr>
          <w:rFonts w:ascii="Times New Roman" w:eastAsia="方正仿宋_GBK" w:hAnsi="Times New Roman" w:cs="Times New Roman"/>
          <w:sz w:val="32"/>
          <w:szCs w:val="32"/>
        </w:rPr>
        <w:t>95389</w:t>
      </w:r>
      <w:r>
        <w:rPr>
          <w:rFonts w:ascii="Times New Roman" w:eastAsia="方正仿宋_GBK" w:hAnsi="Times New Roman" w:cs="Times New Roman"/>
          <w:sz w:val="32"/>
          <w:szCs w:val="32"/>
        </w:rPr>
        <w:t>。</w:t>
      </w:r>
    </w:p>
    <w:p w14:paraId="04AD4645" w14:textId="77777777" w:rsidR="00AE2277" w:rsidRDefault="009734E9">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特此公告。</w:t>
      </w:r>
    </w:p>
    <w:p w14:paraId="066D8373" w14:textId="77777777" w:rsidR="00AE2277" w:rsidRDefault="009734E9">
      <w:pPr>
        <w:spacing w:line="360" w:lineRule="auto"/>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p>
    <w:p w14:paraId="32587B5A" w14:textId="77777777" w:rsidR="00AE2277" w:rsidRDefault="00AE2277">
      <w:pPr>
        <w:spacing w:line="360" w:lineRule="auto"/>
        <w:rPr>
          <w:rFonts w:ascii="Times New Roman" w:eastAsia="方正仿宋_GBK" w:hAnsi="Times New Roman" w:cs="Times New Roman"/>
          <w:sz w:val="32"/>
          <w:szCs w:val="32"/>
        </w:rPr>
      </w:pPr>
    </w:p>
    <w:p w14:paraId="0781001B" w14:textId="77777777" w:rsidR="00AE2277" w:rsidRDefault="00AE2277">
      <w:pPr>
        <w:spacing w:line="360" w:lineRule="auto"/>
        <w:rPr>
          <w:rFonts w:ascii="Times New Roman" w:eastAsia="方正仿宋_GBK" w:hAnsi="Times New Roman" w:cs="Times New Roman"/>
          <w:sz w:val="32"/>
          <w:szCs w:val="32"/>
        </w:rPr>
      </w:pPr>
    </w:p>
    <w:p w14:paraId="7AEDC3D0" w14:textId="77777777" w:rsidR="00AE2277" w:rsidRDefault="00AE2277">
      <w:pPr>
        <w:spacing w:line="360" w:lineRule="auto"/>
        <w:rPr>
          <w:rFonts w:ascii="Times New Roman" w:eastAsia="方正仿宋_GBK" w:hAnsi="Times New Roman" w:cs="Times New Roman"/>
          <w:sz w:val="32"/>
          <w:szCs w:val="32"/>
        </w:rPr>
      </w:pPr>
    </w:p>
    <w:p w14:paraId="0E7E0D5F" w14:textId="77777777" w:rsidR="00AE2277" w:rsidRDefault="00AE2277">
      <w:pPr>
        <w:spacing w:line="360" w:lineRule="auto"/>
        <w:rPr>
          <w:rFonts w:ascii="Times New Roman" w:eastAsia="方正仿宋_GBK" w:hAnsi="Times New Roman" w:cs="Times New Roman"/>
          <w:sz w:val="32"/>
          <w:szCs w:val="32"/>
        </w:rPr>
      </w:pPr>
    </w:p>
    <w:p w14:paraId="14D3A8B1" w14:textId="77777777" w:rsidR="00AE2277" w:rsidRDefault="00AE2277">
      <w:pPr>
        <w:spacing w:line="360" w:lineRule="auto"/>
        <w:rPr>
          <w:rFonts w:ascii="Times New Roman" w:eastAsia="方正仿宋_GBK" w:hAnsi="Times New Roman" w:cs="Times New Roman"/>
          <w:sz w:val="32"/>
          <w:szCs w:val="32"/>
        </w:rPr>
      </w:pPr>
    </w:p>
    <w:p w14:paraId="16FB441A" w14:textId="77777777" w:rsidR="00AE2277" w:rsidRDefault="00AE2277">
      <w:pPr>
        <w:spacing w:line="360" w:lineRule="auto"/>
        <w:rPr>
          <w:rFonts w:ascii="Times New Roman" w:eastAsia="方正仿宋_GBK" w:hAnsi="Times New Roman" w:cs="Times New Roman"/>
          <w:sz w:val="32"/>
          <w:szCs w:val="32"/>
        </w:rPr>
      </w:pPr>
    </w:p>
    <w:p w14:paraId="40705CF5" w14:textId="77777777" w:rsidR="00AE2277" w:rsidRDefault="009734E9">
      <w:pPr>
        <w:spacing w:line="360" w:lineRule="auto"/>
        <w:rPr>
          <w:rFonts w:ascii="Times New Roman" w:eastAsia="方正仿宋_GBK" w:hAnsi="Times New Roman" w:cs="Times New Roman"/>
          <w:sz w:val="32"/>
          <w:szCs w:val="32"/>
        </w:rPr>
      </w:pPr>
      <w:r>
        <w:rPr>
          <w:rFonts w:ascii="Times New Roman" w:eastAsia="方正仿宋_GBK" w:hAnsi="Times New Roman" w:cs="Times New Roman"/>
          <w:sz w:val="32"/>
          <w:szCs w:val="32"/>
        </w:rPr>
        <w:t>附件：划转产品清单</w:t>
      </w:r>
      <w:r>
        <w:rPr>
          <w:rFonts w:ascii="Times New Roman" w:eastAsia="方正仿宋_GBK" w:hAnsi="Times New Roman" w:cs="Times New Roman" w:hint="eastAsia"/>
          <w:sz w:val="32"/>
          <w:szCs w:val="32"/>
        </w:rPr>
        <w:t>（本批次）</w:t>
      </w:r>
    </w:p>
    <w:tbl>
      <w:tblPr>
        <w:tblW w:w="10890" w:type="dxa"/>
        <w:jc w:val="center"/>
        <w:tblCellSpacing w:w="0" w:type="dxa"/>
        <w:tblLayout w:type="fixed"/>
        <w:tblCellMar>
          <w:left w:w="0" w:type="dxa"/>
          <w:right w:w="0" w:type="dxa"/>
        </w:tblCellMar>
        <w:tblLook w:val="04A0" w:firstRow="1" w:lastRow="0" w:firstColumn="1" w:lastColumn="0" w:noHBand="0" w:noVBand="1"/>
      </w:tblPr>
      <w:tblGrid>
        <w:gridCol w:w="635"/>
        <w:gridCol w:w="2276"/>
        <w:gridCol w:w="1567"/>
        <w:gridCol w:w="1770"/>
        <w:gridCol w:w="1769"/>
        <w:gridCol w:w="910"/>
        <w:gridCol w:w="1963"/>
      </w:tblGrid>
      <w:tr w:rsidR="00AE2277" w14:paraId="65465D94" w14:textId="77777777">
        <w:trPr>
          <w:trHeight w:val="1124"/>
          <w:tblCellSpacing w:w="0" w:type="dxa"/>
          <w:jc w:val="center"/>
        </w:trPr>
        <w:tc>
          <w:tcPr>
            <w:tcW w:w="63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14:paraId="31AAEFBB" w14:textId="77777777" w:rsidR="00AE2277" w:rsidRDefault="009734E9">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序号</w:t>
            </w:r>
          </w:p>
        </w:tc>
        <w:tc>
          <w:tcPr>
            <w:tcW w:w="2276"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14:paraId="05BBB2C7" w14:textId="77777777" w:rsidR="00AE2277" w:rsidRDefault="009734E9">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拟划转产品名称</w:t>
            </w:r>
          </w:p>
        </w:tc>
        <w:tc>
          <w:tcPr>
            <w:tcW w:w="1567"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14:paraId="0CC6279B" w14:textId="77777777" w:rsidR="00AE2277" w:rsidRDefault="009734E9">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理财产品销售代码</w:t>
            </w:r>
          </w:p>
        </w:tc>
        <w:tc>
          <w:tcPr>
            <w:tcW w:w="1770"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14:paraId="28EA1856" w14:textId="77777777" w:rsidR="00AE2277" w:rsidRDefault="009734E9">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产品登记编码（</w:t>
            </w:r>
            <w:r>
              <w:rPr>
                <w:rFonts w:ascii="Times New Roman" w:eastAsia="方正仿宋_GBK" w:hAnsi="Times New Roman" w:cs="Times New Roman" w:hint="eastAsia"/>
                <w:sz w:val="28"/>
                <w:szCs w:val="28"/>
              </w:rPr>
              <w:t>划转</w:t>
            </w:r>
            <w:r>
              <w:rPr>
                <w:rFonts w:ascii="Times New Roman" w:eastAsia="方正仿宋_GBK" w:hAnsi="Times New Roman" w:cs="Times New Roman"/>
                <w:sz w:val="28"/>
                <w:szCs w:val="28"/>
              </w:rPr>
              <w:t>前）</w:t>
            </w:r>
          </w:p>
        </w:tc>
        <w:tc>
          <w:tcPr>
            <w:tcW w:w="1769"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14:paraId="37B46978" w14:textId="77777777" w:rsidR="00AE2277" w:rsidRDefault="009734E9">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产品登记编码（</w:t>
            </w:r>
            <w:r>
              <w:rPr>
                <w:rFonts w:ascii="Times New Roman" w:eastAsia="方正仿宋_GBK" w:hAnsi="Times New Roman" w:cs="Times New Roman" w:hint="eastAsia"/>
                <w:sz w:val="28"/>
                <w:szCs w:val="28"/>
              </w:rPr>
              <w:t>划转</w:t>
            </w:r>
            <w:r>
              <w:rPr>
                <w:rFonts w:ascii="Times New Roman" w:eastAsia="方正仿宋_GBK" w:hAnsi="Times New Roman" w:cs="Times New Roman"/>
                <w:sz w:val="28"/>
                <w:szCs w:val="28"/>
              </w:rPr>
              <w:t>后）</w:t>
            </w:r>
          </w:p>
        </w:tc>
        <w:tc>
          <w:tcPr>
            <w:tcW w:w="910"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14:paraId="1F3EEC59" w14:textId="77777777" w:rsidR="00AE2277" w:rsidRDefault="009734E9">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运作模</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sz w:val="28"/>
                <w:szCs w:val="28"/>
              </w:rPr>
              <w:t>式</w:t>
            </w:r>
          </w:p>
        </w:tc>
        <w:tc>
          <w:tcPr>
            <w:tcW w:w="1963" w:type="dxa"/>
            <w:tcBorders>
              <w:top w:val="single" w:sz="6" w:space="0" w:color="000000"/>
              <w:left w:val="nil"/>
              <w:bottom w:val="single" w:sz="6" w:space="0" w:color="000000"/>
              <w:right w:val="single" w:sz="6" w:space="0" w:color="000000"/>
            </w:tcBorders>
            <w:shd w:val="clear" w:color="auto" w:fill="auto"/>
            <w:tcMar>
              <w:left w:w="105" w:type="dxa"/>
              <w:right w:w="105" w:type="dxa"/>
            </w:tcMar>
            <w:vAlign w:val="center"/>
          </w:tcPr>
          <w:p w14:paraId="4BFDDE4F" w14:textId="77777777" w:rsidR="00AE2277" w:rsidRDefault="009734E9">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划转日期</w:t>
            </w:r>
          </w:p>
        </w:tc>
      </w:tr>
      <w:tr w:rsidR="00AE2277" w14:paraId="36620236" w14:textId="77777777">
        <w:trPr>
          <w:trHeight w:val="2416"/>
          <w:tblCellSpacing w:w="0" w:type="dxa"/>
          <w:jc w:val="center"/>
        </w:trPr>
        <w:tc>
          <w:tcPr>
            <w:tcW w:w="635" w:type="dxa"/>
            <w:tcBorders>
              <w:top w:val="single" w:sz="6" w:space="0" w:color="000000"/>
              <w:left w:val="single" w:sz="6" w:space="0" w:color="000000"/>
              <w:bottom w:val="single" w:sz="4" w:space="0" w:color="auto"/>
              <w:right w:val="single" w:sz="6" w:space="0" w:color="000000"/>
            </w:tcBorders>
            <w:shd w:val="clear" w:color="auto" w:fill="auto"/>
            <w:tcMar>
              <w:left w:w="105" w:type="dxa"/>
              <w:right w:w="105" w:type="dxa"/>
            </w:tcMar>
            <w:vAlign w:val="center"/>
          </w:tcPr>
          <w:p w14:paraId="5780F1A6" w14:textId="77777777" w:rsidR="00AE2277" w:rsidRDefault="009734E9">
            <w:pPr>
              <w:spacing w:line="360" w:lineRule="auto"/>
              <w:rPr>
                <w:rFonts w:ascii="Times New Roman" w:eastAsia="方正仿宋_GBK" w:hAnsi="Times New Roman" w:cs="Times New Roman"/>
                <w:szCs w:val="21"/>
              </w:rPr>
            </w:pPr>
            <w:r>
              <w:rPr>
                <w:rFonts w:ascii="Times New Roman" w:eastAsia="方正仿宋_GBK" w:hAnsi="Times New Roman" w:cs="Times New Roman"/>
                <w:szCs w:val="21"/>
              </w:rPr>
              <w:t>1</w:t>
            </w:r>
          </w:p>
        </w:tc>
        <w:tc>
          <w:tcPr>
            <w:tcW w:w="2276" w:type="dxa"/>
            <w:tcBorders>
              <w:top w:val="single" w:sz="6" w:space="0" w:color="000000"/>
              <w:left w:val="nil"/>
              <w:bottom w:val="single" w:sz="4" w:space="0" w:color="auto"/>
              <w:right w:val="single" w:sz="6" w:space="0" w:color="000000"/>
            </w:tcBorders>
            <w:shd w:val="clear" w:color="auto" w:fill="auto"/>
            <w:tcMar>
              <w:left w:w="105" w:type="dxa"/>
              <w:right w:w="105" w:type="dxa"/>
            </w:tcMar>
            <w:vAlign w:val="center"/>
          </w:tcPr>
          <w:p w14:paraId="08C342F4" w14:textId="77777777" w:rsidR="00AE2277" w:rsidRDefault="009734E9">
            <w:pPr>
              <w:spacing w:line="360" w:lineRule="auto"/>
              <w:rPr>
                <w:rFonts w:ascii="Times New Roman" w:eastAsia="方正仿宋_GBK" w:hAnsi="Times New Roman" w:cs="Times New Roman"/>
                <w:szCs w:val="21"/>
              </w:rPr>
            </w:pPr>
            <w:r>
              <w:rPr>
                <w:rFonts w:ascii="Times New Roman" w:eastAsia="方正仿宋_GBK" w:hAnsi="Times New Roman" w:cs="Times New Roman" w:hint="eastAsia"/>
                <w:szCs w:val="21"/>
              </w:rPr>
              <w:t>江渝财富“天添金”</w:t>
            </w:r>
            <w:r>
              <w:rPr>
                <w:rFonts w:ascii="Times New Roman" w:eastAsia="方正仿宋_GBK" w:hAnsi="Times New Roman" w:cs="Times New Roman" w:hint="eastAsia"/>
                <w:szCs w:val="21"/>
              </w:rPr>
              <w:t>2020</w:t>
            </w:r>
            <w:r>
              <w:rPr>
                <w:rFonts w:ascii="Times New Roman" w:eastAsia="方正仿宋_GBK" w:hAnsi="Times New Roman" w:cs="Times New Roman" w:hint="eastAsia"/>
                <w:szCs w:val="21"/>
              </w:rPr>
              <w:t>年第</w:t>
            </w:r>
            <w:r>
              <w:rPr>
                <w:rFonts w:ascii="Times New Roman" w:eastAsia="方正仿宋_GBK" w:hAnsi="Times New Roman" w:cs="Times New Roman" w:hint="eastAsia"/>
                <w:szCs w:val="21"/>
              </w:rPr>
              <w:t>24</w:t>
            </w:r>
            <w:r>
              <w:rPr>
                <w:rFonts w:ascii="Times New Roman" w:eastAsia="方正仿宋_GBK" w:hAnsi="Times New Roman" w:cs="Times New Roman" w:hint="eastAsia"/>
                <w:szCs w:val="21"/>
              </w:rPr>
              <w:t>期公募封闭式净值型理财产品</w:t>
            </w:r>
          </w:p>
        </w:tc>
        <w:tc>
          <w:tcPr>
            <w:tcW w:w="1567" w:type="dxa"/>
            <w:tcBorders>
              <w:top w:val="single" w:sz="6" w:space="0" w:color="000000"/>
              <w:left w:val="nil"/>
              <w:bottom w:val="single" w:sz="4" w:space="0" w:color="auto"/>
              <w:right w:val="single" w:sz="6" w:space="0" w:color="000000"/>
            </w:tcBorders>
            <w:shd w:val="clear" w:color="auto" w:fill="auto"/>
            <w:tcMar>
              <w:left w:w="105" w:type="dxa"/>
              <w:right w:w="105" w:type="dxa"/>
            </w:tcMar>
            <w:vAlign w:val="center"/>
          </w:tcPr>
          <w:p w14:paraId="45EC2F5B" w14:textId="77777777" w:rsidR="00AE2277" w:rsidRDefault="009734E9">
            <w:pPr>
              <w:widowControl/>
              <w:rPr>
                <w:rFonts w:ascii="Arial" w:eastAsia="宋体" w:hAnsi="Arial" w:cs="Arial"/>
                <w:kern w:val="0"/>
                <w:sz w:val="20"/>
                <w:szCs w:val="20"/>
              </w:rPr>
            </w:pPr>
            <w:r>
              <w:rPr>
                <w:rFonts w:ascii="Arial" w:hAnsi="Arial" w:cs="Arial" w:hint="cs"/>
                <w:sz w:val="20"/>
                <w:szCs w:val="20"/>
              </w:rPr>
              <w:t>12020024GFJ</w:t>
            </w:r>
          </w:p>
        </w:tc>
        <w:tc>
          <w:tcPr>
            <w:tcW w:w="1770" w:type="dxa"/>
            <w:tcBorders>
              <w:top w:val="single" w:sz="6" w:space="0" w:color="000000"/>
              <w:left w:val="nil"/>
              <w:bottom w:val="single" w:sz="4" w:space="0" w:color="auto"/>
              <w:right w:val="single" w:sz="6" w:space="0" w:color="000000"/>
            </w:tcBorders>
            <w:shd w:val="clear" w:color="auto" w:fill="auto"/>
            <w:tcMar>
              <w:left w:w="105" w:type="dxa"/>
              <w:right w:w="105" w:type="dxa"/>
            </w:tcMar>
            <w:vAlign w:val="center"/>
          </w:tcPr>
          <w:p w14:paraId="10E1900D" w14:textId="77777777" w:rsidR="00AE2277" w:rsidRDefault="009734E9">
            <w:pPr>
              <w:spacing w:line="360" w:lineRule="auto"/>
              <w:rPr>
                <w:rFonts w:ascii="Times New Roman" w:eastAsia="方正仿宋_GBK" w:hAnsi="Times New Roman" w:cs="Times New Roman"/>
                <w:szCs w:val="21"/>
              </w:rPr>
            </w:pPr>
            <w:r>
              <w:rPr>
                <w:rFonts w:ascii="Times New Roman" w:eastAsia="方正仿宋_GBK" w:hAnsi="Times New Roman" w:cs="Times New Roman"/>
                <w:szCs w:val="21"/>
              </w:rPr>
              <w:t>C1126720000050</w:t>
            </w:r>
          </w:p>
        </w:tc>
        <w:tc>
          <w:tcPr>
            <w:tcW w:w="1769" w:type="dxa"/>
            <w:tcBorders>
              <w:top w:val="single" w:sz="6" w:space="0" w:color="000000"/>
              <w:left w:val="nil"/>
              <w:bottom w:val="single" w:sz="4" w:space="0" w:color="auto"/>
              <w:right w:val="single" w:sz="6" w:space="0" w:color="000000"/>
            </w:tcBorders>
            <w:shd w:val="clear" w:color="auto" w:fill="auto"/>
            <w:tcMar>
              <w:left w:w="105" w:type="dxa"/>
              <w:right w:w="105" w:type="dxa"/>
            </w:tcMar>
            <w:vAlign w:val="center"/>
          </w:tcPr>
          <w:p w14:paraId="385FFBF8" w14:textId="77777777" w:rsidR="00AE2277" w:rsidRDefault="009734E9">
            <w:pPr>
              <w:spacing w:line="360" w:lineRule="auto"/>
              <w:rPr>
                <w:rFonts w:ascii="Times New Roman" w:eastAsia="方正仿宋_GBK" w:hAnsi="Times New Roman" w:cs="Times New Roman"/>
                <w:szCs w:val="21"/>
              </w:rPr>
            </w:pPr>
            <w:r>
              <w:rPr>
                <w:rFonts w:ascii="Times New Roman" w:eastAsia="方正仿宋_GBK" w:hAnsi="Times New Roman" w:cs="Times New Roman" w:hint="eastAsia"/>
                <w:szCs w:val="21"/>
              </w:rPr>
              <w:t>Z7002721000206</w:t>
            </w:r>
          </w:p>
        </w:tc>
        <w:tc>
          <w:tcPr>
            <w:tcW w:w="910" w:type="dxa"/>
            <w:tcBorders>
              <w:top w:val="single" w:sz="6" w:space="0" w:color="000000"/>
              <w:left w:val="nil"/>
              <w:bottom w:val="single" w:sz="4" w:space="0" w:color="auto"/>
              <w:right w:val="single" w:sz="6" w:space="0" w:color="000000"/>
            </w:tcBorders>
            <w:shd w:val="clear" w:color="auto" w:fill="auto"/>
            <w:tcMar>
              <w:left w:w="105" w:type="dxa"/>
              <w:right w:w="105" w:type="dxa"/>
            </w:tcMar>
            <w:vAlign w:val="center"/>
          </w:tcPr>
          <w:p w14:paraId="55522A3D" w14:textId="77777777" w:rsidR="00AE2277" w:rsidRDefault="009734E9">
            <w:pPr>
              <w:spacing w:line="360" w:lineRule="auto"/>
              <w:rPr>
                <w:rFonts w:ascii="Times New Roman" w:eastAsia="方正仿宋_GBK" w:hAnsi="Times New Roman" w:cs="Times New Roman"/>
                <w:szCs w:val="21"/>
              </w:rPr>
            </w:pPr>
            <w:r>
              <w:rPr>
                <w:rFonts w:ascii="Times New Roman" w:eastAsia="方正仿宋_GBK" w:hAnsi="Times New Roman" w:cs="Times New Roman" w:hint="eastAsia"/>
                <w:szCs w:val="21"/>
              </w:rPr>
              <w:t>封闭式</w:t>
            </w:r>
          </w:p>
        </w:tc>
        <w:tc>
          <w:tcPr>
            <w:tcW w:w="1963" w:type="dxa"/>
            <w:tcBorders>
              <w:top w:val="single" w:sz="6" w:space="0" w:color="000000"/>
              <w:left w:val="nil"/>
              <w:bottom w:val="single" w:sz="4" w:space="0" w:color="auto"/>
              <w:right w:val="single" w:sz="6" w:space="0" w:color="000000"/>
            </w:tcBorders>
            <w:shd w:val="clear" w:color="auto" w:fill="auto"/>
            <w:tcMar>
              <w:left w:w="105" w:type="dxa"/>
              <w:right w:w="105" w:type="dxa"/>
            </w:tcMar>
            <w:vAlign w:val="center"/>
          </w:tcPr>
          <w:p w14:paraId="4C2B5B7F" w14:textId="77777777" w:rsidR="00AE2277" w:rsidRDefault="009734E9">
            <w:pPr>
              <w:spacing w:line="360" w:lineRule="auto"/>
              <w:rPr>
                <w:rFonts w:ascii="Times New Roman" w:eastAsia="方正仿宋_GBK" w:hAnsi="Times New Roman" w:cs="Times New Roman"/>
                <w:szCs w:val="21"/>
              </w:rPr>
            </w:pPr>
            <w:r>
              <w:rPr>
                <w:rFonts w:ascii="Times New Roman" w:eastAsia="方正仿宋_GBK" w:hAnsi="Times New Roman" w:cs="Times New Roman"/>
                <w:szCs w:val="21"/>
              </w:rPr>
              <w:t>2021</w:t>
            </w:r>
            <w:r>
              <w:rPr>
                <w:rFonts w:ascii="Times New Roman" w:eastAsia="方正仿宋_GBK" w:hAnsi="Times New Roman" w:cs="Times New Roman"/>
                <w:szCs w:val="21"/>
              </w:rPr>
              <w:t>年</w:t>
            </w: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hint="eastAsia"/>
                <w:szCs w:val="21"/>
              </w:rPr>
              <w:t>13</w:t>
            </w:r>
            <w:r>
              <w:rPr>
                <w:rFonts w:ascii="Times New Roman" w:eastAsia="方正仿宋_GBK" w:hAnsi="Times New Roman" w:cs="Times New Roman"/>
                <w:szCs w:val="21"/>
              </w:rPr>
              <w:t>日</w:t>
            </w:r>
          </w:p>
        </w:tc>
      </w:tr>
    </w:tbl>
    <w:p w14:paraId="68FB9ABF" w14:textId="77777777" w:rsidR="00AE2277" w:rsidRDefault="009734E9">
      <w:pPr>
        <w:spacing w:line="360" w:lineRule="auto"/>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p>
    <w:p w14:paraId="176C7605" w14:textId="77777777" w:rsidR="00AE2277" w:rsidRDefault="00AE2277">
      <w:pPr>
        <w:spacing w:line="360" w:lineRule="auto"/>
        <w:rPr>
          <w:rFonts w:ascii="Times New Roman" w:eastAsia="方正仿宋_GBK" w:hAnsi="Times New Roman" w:cs="Times New Roman"/>
          <w:sz w:val="32"/>
          <w:szCs w:val="32"/>
        </w:rPr>
      </w:pPr>
    </w:p>
    <w:p w14:paraId="36F84F1F" w14:textId="77777777" w:rsidR="00AE2277" w:rsidRDefault="00AE2277">
      <w:pPr>
        <w:spacing w:line="360" w:lineRule="auto"/>
        <w:rPr>
          <w:rFonts w:ascii="Times New Roman" w:eastAsia="方正仿宋_GBK" w:hAnsi="Times New Roman" w:cs="Times New Roman"/>
          <w:sz w:val="32"/>
          <w:szCs w:val="32"/>
        </w:rPr>
      </w:pPr>
    </w:p>
    <w:p w14:paraId="6F001FAA" w14:textId="77777777" w:rsidR="00AE2277" w:rsidRDefault="00AE2277">
      <w:pPr>
        <w:spacing w:line="360" w:lineRule="auto"/>
        <w:rPr>
          <w:rFonts w:ascii="Times New Roman" w:eastAsia="方正仿宋_GBK" w:hAnsi="Times New Roman" w:cs="Times New Roman"/>
          <w:sz w:val="32"/>
          <w:szCs w:val="32"/>
        </w:rPr>
      </w:pPr>
    </w:p>
    <w:p w14:paraId="72CBC0EE" w14:textId="77777777" w:rsidR="00AE2277" w:rsidRDefault="00AE2277">
      <w:pPr>
        <w:spacing w:line="360" w:lineRule="auto"/>
        <w:rPr>
          <w:rFonts w:ascii="Times New Roman" w:eastAsia="方正仿宋_GBK" w:hAnsi="Times New Roman" w:cs="Times New Roman"/>
          <w:sz w:val="32"/>
          <w:szCs w:val="32"/>
        </w:rPr>
      </w:pPr>
    </w:p>
    <w:p w14:paraId="0DB55430" w14:textId="77777777" w:rsidR="00AE2277" w:rsidRDefault="009734E9">
      <w:pPr>
        <w:spacing w:line="360" w:lineRule="auto"/>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重庆农村商业银行股份有限公司</w:t>
      </w:r>
    </w:p>
    <w:p w14:paraId="006B744E" w14:textId="77777777" w:rsidR="00AE2277" w:rsidRDefault="009734E9">
      <w:pPr>
        <w:spacing w:line="360" w:lineRule="auto"/>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roofErr w:type="gramStart"/>
      <w:r>
        <w:rPr>
          <w:rFonts w:ascii="Times New Roman" w:eastAsia="方正仿宋_GBK" w:hAnsi="Times New Roman" w:cs="Times New Roman"/>
          <w:sz w:val="32"/>
          <w:szCs w:val="32"/>
        </w:rPr>
        <w:t>渝</w:t>
      </w:r>
      <w:proofErr w:type="gramEnd"/>
      <w:r>
        <w:rPr>
          <w:rFonts w:ascii="Times New Roman" w:eastAsia="方正仿宋_GBK" w:hAnsi="Times New Roman" w:cs="Times New Roman"/>
          <w:sz w:val="32"/>
          <w:szCs w:val="32"/>
        </w:rPr>
        <w:t>农商理财有限责任公司</w:t>
      </w:r>
    </w:p>
    <w:p w14:paraId="35599706" w14:textId="2C60DCEB" w:rsidR="00AE2277" w:rsidRDefault="009734E9">
      <w:pPr>
        <w:spacing w:line="360" w:lineRule="auto"/>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日</w:t>
      </w:r>
    </w:p>
    <w:sectPr w:rsidR="00AE22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F4CB" w14:textId="77777777" w:rsidR="009734E9" w:rsidRDefault="009734E9" w:rsidP="00074101">
      <w:r>
        <w:separator/>
      </w:r>
    </w:p>
  </w:endnote>
  <w:endnote w:type="continuationSeparator" w:id="0">
    <w:p w14:paraId="69F7887F" w14:textId="77777777" w:rsidR="009734E9" w:rsidRDefault="009734E9" w:rsidP="0007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048F" w14:textId="77777777" w:rsidR="009734E9" w:rsidRDefault="009734E9" w:rsidP="00074101">
      <w:r>
        <w:separator/>
      </w:r>
    </w:p>
  </w:footnote>
  <w:footnote w:type="continuationSeparator" w:id="0">
    <w:p w14:paraId="47166E9B" w14:textId="77777777" w:rsidR="009734E9" w:rsidRDefault="009734E9" w:rsidP="00074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4C"/>
    <w:rsid w:val="00030E56"/>
    <w:rsid w:val="00074101"/>
    <w:rsid w:val="000F4D73"/>
    <w:rsid w:val="001B471B"/>
    <w:rsid w:val="001C2388"/>
    <w:rsid w:val="00210317"/>
    <w:rsid w:val="002B1B2D"/>
    <w:rsid w:val="002C4CB7"/>
    <w:rsid w:val="00307B60"/>
    <w:rsid w:val="003915B7"/>
    <w:rsid w:val="003F220C"/>
    <w:rsid w:val="00562239"/>
    <w:rsid w:val="005B27EF"/>
    <w:rsid w:val="005B4671"/>
    <w:rsid w:val="005C5C7A"/>
    <w:rsid w:val="006109F1"/>
    <w:rsid w:val="0068735A"/>
    <w:rsid w:val="0078354C"/>
    <w:rsid w:val="007D7768"/>
    <w:rsid w:val="007F1F7F"/>
    <w:rsid w:val="00824174"/>
    <w:rsid w:val="008903B0"/>
    <w:rsid w:val="008E24A4"/>
    <w:rsid w:val="00902871"/>
    <w:rsid w:val="00923FDB"/>
    <w:rsid w:val="009734E9"/>
    <w:rsid w:val="00AC6110"/>
    <w:rsid w:val="00AE2277"/>
    <w:rsid w:val="00B15D63"/>
    <w:rsid w:val="00B2075C"/>
    <w:rsid w:val="00BA2959"/>
    <w:rsid w:val="00CA0286"/>
    <w:rsid w:val="00CA4424"/>
    <w:rsid w:val="00CF5290"/>
    <w:rsid w:val="00D26AF8"/>
    <w:rsid w:val="00D5767D"/>
    <w:rsid w:val="00D813F7"/>
    <w:rsid w:val="00DF372F"/>
    <w:rsid w:val="00E33112"/>
    <w:rsid w:val="00E4667C"/>
    <w:rsid w:val="00F27744"/>
    <w:rsid w:val="00FA58C8"/>
    <w:rsid w:val="00FA63FA"/>
    <w:rsid w:val="20FA3060"/>
    <w:rsid w:val="239B3AB3"/>
    <w:rsid w:val="2F9140D3"/>
    <w:rsid w:val="3C1D0060"/>
    <w:rsid w:val="4A4A06AA"/>
    <w:rsid w:val="7A451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831C9"/>
  <w15:docId w15:val="{80E0461A-B833-4EA1-B14F-4A692599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rPr>
      <w:b/>
      <w:bCs/>
    </w:rPr>
  </w:style>
  <w:style w:type="paragraph" w:styleId="a4">
    <w:name w:val="annotation text"/>
    <w:basedOn w:val="a"/>
    <w:link w:val="a6"/>
    <w:pPr>
      <w:jc w:val="left"/>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pPr>
      <w:spacing w:beforeAutospacing="1" w:afterAutospacing="1"/>
      <w:jc w:val="left"/>
    </w:pPr>
    <w:rPr>
      <w:rFonts w:cs="Times New Roman"/>
      <w:kern w:val="0"/>
      <w:sz w:val="24"/>
    </w:rPr>
  </w:style>
  <w:style w:type="character" w:styleId="ac">
    <w:name w:val="FollowedHyperlink"/>
    <w:basedOn w:val="a0"/>
    <w:qFormat/>
    <w:rPr>
      <w:color w:val="333333"/>
      <w:u w:val="none"/>
    </w:rPr>
  </w:style>
  <w:style w:type="character" w:styleId="ad">
    <w:name w:val="Hyperlink"/>
    <w:basedOn w:val="a0"/>
    <w:qFormat/>
    <w:rPr>
      <w:color w:val="333333"/>
      <w:u w:val="none"/>
    </w:rPr>
  </w:style>
  <w:style w:type="character" w:styleId="ae">
    <w:name w:val="annotation reference"/>
    <w:basedOn w:val="a0"/>
    <w:qFormat/>
    <w:rPr>
      <w:sz w:val="21"/>
      <w:szCs w:val="21"/>
    </w:rPr>
  </w:style>
  <w:style w:type="paragraph" w:customStyle="1" w:styleId="Style6">
    <w:name w:val="_Style 6"/>
    <w:basedOn w:val="a"/>
    <w:next w:val="a"/>
    <w:qFormat/>
    <w:pPr>
      <w:pBdr>
        <w:bottom w:val="single" w:sz="6" w:space="1" w:color="auto"/>
      </w:pBdr>
      <w:jc w:val="center"/>
    </w:pPr>
    <w:rPr>
      <w:rFonts w:ascii="Arial" w:eastAsia="宋体"/>
      <w:vanish/>
      <w:sz w:val="16"/>
    </w:rPr>
  </w:style>
  <w:style w:type="paragraph" w:customStyle="1" w:styleId="Style7">
    <w:name w:val="_Style 7"/>
    <w:basedOn w:val="a"/>
    <w:next w:val="a"/>
    <w:qFormat/>
    <w:pPr>
      <w:pBdr>
        <w:top w:val="single" w:sz="6" w:space="1" w:color="auto"/>
      </w:pBdr>
      <w:jc w:val="center"/>
    </w:pPr>
    <w:rPr>
      <w:rFonts w:ascii="Arial" w:eastAsia="宋体"/>
      <w:vanish/>
      <w:sz w:val="16"/>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rPr>
      <w:rFonts w:asciiTheme="minorHAnsi" w:eastAsiaTheme="minorEastAsia" w:hAnsiTheme="minorHAnsi" w:cstheme="minorBidi"/>
      <w:kern w:val="2"/>
      <w:sz w:val="18"/>
      <w:szCs w:val="18"/>
    </w:rPr>
  </w:style>
  <w:style w:type="character" w:customStyle="1" w:styleId="a6">
    <w:name w:val="批注文字 字符"/>
    <w:basedOn w:val="a0"/>
    <w:link w:val="a4"/>
    <w:rPr>
      <w:rFonts w:asciiTheme="minorHAnsi" w:eastAsiaTheme="minorEastAsia" w:hAnsiTheme="minorHAnsi" w:cstheme="minorBidi"/>
      <w:kern w:val="2"/>
      <w:sz w:val="21"/>
      <w:szCs w:val="24"/>
    </w:rPr>
  </w:style>
  <w:style w:type="character" w:customStyle="1" w:styleId="a5">
    <w:name w:val="批注主题 字符"/>
    <w:basedOn w:val="a6"/>
    <w:link w:val="a3"/>
    <w:semiHidden/>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王飞</dc:creator>
  <cp:lastModifiedBy>夏会阳</cp:lastModifiedBy>
  <cp:revision>10</cp:revision>
  <cp:lastPrinted>2021-10-11T01:37:00Z</cp:lastPrinted>
  <dcterms:created xsi:type="dcterms:W3CDTF">2021-10-11T03:42:00Z</dcterms:created>
  <dcterms:modified xsi:type="dcterms:W3CDTF">2021-10-25T07:22:00Z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