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57</w:t>
      </w:r>
      <w:r>
        <w:rPr>
          <w:rFonts w:hint="eastAsia" w:asciiTheme="minorEastAsia" w:hAnsiTheme="minorEastAsia"/>
          <w:b/>
          <w:sz w:val="32"/>
          <w:szCs w:val="32"/>
        </w:rPr>
        <w:t>期</w:t>
      </w:r>
      <w:r>
        <w:rPr>
          <w:rFonts w:hint="eastAsia" w:asciiTheme="minorEastAsia" w:hAnsiTheme="minorEastAsia"/>
          <w:b/>
          <w:sz w:val="32"/>
          <w:szCs w:val="32"/>
          <w:lang w:val="en-US" w:eastAsia="zh-CN"/>
        </w:rPr>
        <w:t>公</w:t>
      </w:r>
      <w:r>
        <w:rPr>
          <w:rFonts w:hint="eastAsia" w:asciiTheme="minorEastAsia" w:hAnsiTheme="minorEastAsia"/>
          <w:b/>
          <w:sz w:val="32"/>
          <w:szCs w:val="32"/>
        </w:rPr>
        <w:t>募封闭式净值型</w:t>
      </w:r>
      <w:r>
        <w:rPr>
          <w:rFonts w:hint="eastAsia" w:asciiTheme="minorEastAsia" w:hAnsiTheme="minorEastAsia"/>
          <w:b/>
          <w:sz w:val="32"/>
          <w:szCs w:val="32"/>
          <w:lang w:val="en-US" w:eastAsia="zh-CN"/>
        </w:rPr>
        <w:t>理财产品</w:t>
      </w:r>
    </w:p>
    <w:p>
      <w:pPr>
        <w:jc w:val="center"/>
        <w:rPr>
          <w:rFonts w:eastAsia="仿宋"/>
          <w:b/>
          <w:sz w:val="24"/>
        </w:rPr>
      </w:pPr>
      <w:r>
        <w:rPr>
          <w:rFonts w:hint="eastAsia" w:asciiTheme="minorEastAsia" w:hAnsiTheme="minorEastAsia"/>
          <w:b/>
          <w:sz w:val="32"/>
          <w:szCs w:val="32"/>
          <w:lang w:val="en-US" w:eastAsia="zh-CN"/>
        </w:rPr>
        <w:t>2020年第四季度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江渝财富“天添金”2020年第57期公募封闭式净值型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12020057GFJ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914,303,000.00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2020年5月19日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2021年5月19日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上海银行股份有限公司成都分行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03004137147</w:t>
            </w:r>
          </w:p>
        </w:tc>
      </w:tr>
    </w:tbl>
    <w:p>
      <w:pPr>
        <w:spacing w:line="360" w:lineRule="auto"/>
        <w:rPr>
          <w:rFonts w:asciiTheme="minorEastAsia" w:hAnsiTheme="minorEastAsia"/>
          <w:b/>
          <w:szCs w:val="21"/>
        </w:rPr>
      </w:pPr>
    </w:p>
    <w:p>
      <w:pPr>
        <w:keepNext w:val="0"/>
        <w:keepLines w:val="0"/>
        <w:pageBreakBefore w:val="0"/>
        <w:widowControl w:val="0"/>
        <w:kinsoku/>
        <w:overflowPunct/>
        <w:topLinePunct w:val="0"/>
        <w:autoSpaceDE/>
        <w:autoSpaceDN/>
        <w:bidi w:val="0"/>
        <w:adjustRightInd/>
        <w:snapToGrid/>
        <w:spacing w:line="240" w:lineRule="auto"/>
        <w:textAlignment w:val="auto"/>
        <w:rPr>
          <w:rFonts w:asciiTheme="minorEastAsia" w:hAnsiTheme="minorEastAsia"/>
          <w:szCs w:val="21"/>
        </w:rPr>
      </w:pPr>
      <w:r>
        <w:rPr>
          <w:rFonts w:hint="eastAsia" w:asciiTheme="minorEastAsia" w:hAnsiTheme="minorEastAsia"/>
          <w:szCs w:val="21"/>
        </w:rPr>
        <w:t>二、收益情况</w:t>
      </w:r>
    </w:p>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asciiTheme="minorEastAsia" w:hAnsiTheme="minorEastAsia"/>
          <w:szCs w:val="21"/>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936,375,109.47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1.0241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1.0241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942,911,889.79</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472,672,783.75</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470,239,106.04</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r>
        <w:rPr>
          <w:rFonts w:hint="eastAsia" w:asciiTheme="minorEastAsia" w:hAnsiTheme="minorEastAsia"/>
          <w:sz w:val="18"/>
          <w:szCs w:val="18"/>
          <w:lang w:val="en-US" w:eastAsia="zh-CN"/>
        </w:rPr>
        <w:t>备注：上述资产金额为该期产品资产市值</w:t>
      </w:r>
    </w:p>
    <w:p>
      <w:pPr>
        <w:rPr>
          <w:rFonts w:hint="eastAsia" w:asciiTheme="minorEastAsia" w:hAnsiTheme="minorEastAsia"/>
          <w:szCs w:val="21"/>
        </w:rPr>
        <w:sectPr>
          <w:footerReference r:id="rId4" w:type="first"/>
          <w:footerReference r:id="rId3" w:type="default"/>
          <w:pgSz w:w="11906" w:h="16838"/>
          <w:pgMar w:top="1440" w:right="1800" w:bottom="1440" w:left="1800" w:header="851" w:footer="992" w:gutter="0"/>
          <w:pgNumType w:fmt="decimal" w:start="0"/>
          <w:cols w:space="425" w:num="1"/>
          <w:titlePg/>
          <w:docGrid w:type="lines" w:linePitch="312" w:charSpace="0"/>
        </w:sectPr>
      </w:pP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4298"/>
        <w:gridCol w:w="1994"/>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17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80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4"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522"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洛银金融租赁股份有限公司同业借款</w:t>
            </w:r>
          </w:p>
        </w:tc>
        <w:tc>
          <w:tcPr>
            <w:tcW w:w="117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204,394,444.44</w:t>
            </w:r>
          </w:p>
        </w:tc>
        <w:tc>
          <w:tcPr>
            <w:tcW w:w="80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4"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522"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河南九鼎金融租赁股份有限公司同业借款</w:t>
            </w:r>
          </w:p>
        </w:tc>
        <w:tc>
          <w:tcPr>
            <w:tcW w:w="117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204,017,777.78</w:t>
            </w:r>
          </w:p>
        </w:tc>
        <w:tc>
          <w:tcPr>
            <w:tcW w:w="80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4"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522"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19新郑投资PPN001</w:t>
            </w:r>
          </w:p>
        </w:tc>
        <w:tc>
          <w:tcPr>
            <w:tcW w:w="117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78,414,000.00</w:t>
            </w:r>
          </w:p>
        </w:tc>
        <w:tc>
          <w:tcPr>
            <w:tcW w:w="80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4"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522"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19合川投资PPN002</w:t>
            </w:r>
          </w:p>
        </w:tc>
        <w:tc>
          <w:tcPr>
            <w:tcW w:w="117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78,278,750.68</w:t>
            </w:r>
          </w:p>
        </w:tc>
        <w:tc>
          <w:tcPr>
            <w:tcW w:w="80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4"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522"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19安市淮阴PPN001</w:t>
            </w:r>
          </w:p>
        </w:tc>
        <w:tc>
          <w:tcPr>
            <w:tcW w:w="117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66,870,196.72</w:t>
            </w:r>
          </w:p>
        </w:tc>
        <w:tc>
          <w:tcPr>
            <w:tcW w:w="80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4"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522"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银行存款</w:t>
            </w:r>
          </w:p>
        </w:tc>
        <w:tc>
          <w:tcPr>
            <w:tcW w:w="117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61,826,883.82</w:t>
            </w:r>
          </w:p>
        </w:tc>
        <w:tc>
          <w:tcPr>
            <w:tcW w:w="80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4"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522"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19双福建设PPN002</w:t>
            </w:r>
          </w:p>
        </w:tc>
        <w:tc>
          <w:tcPr>
            <w:tcW w:w="1170"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52,617,808.22</w:t>
            </w:r>
          </w:p>
        </w:tc>
        <w:tc>
          <w:tcPr>
            <w:tcW w:w="802"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4"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522"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18珞璜开发PPN001</w:t>
            </w:r>
          </w:p>
        </w:tc>
        <w:tc>
          <w:tcPr>
            <w:tcW w:w="1170"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34,241,446.58</w:t>
            </w:r>
          </w:p>
        </w:tc>
        <w:tc>
          <w:tcPr>
            <w:tcW w:w="802"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4"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522"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19重庆园业PPN001</w:t>
            </w:r>
          </w:p>
        </w:tc>
        <w:tc>
          <w:tcPr>
            <w:tcW w:w="1170"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32,058,360.66</w:t>
            </w:r>
          </w:p>
        </w:tc>
        <w:tc>
          <w:tcPr>
            <w:tcW w:w="802"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4"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522"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19渝豪江PPN001</w:t>
            </w:r>
          </w:p>
        </w:tc>
        <w:tc>
          <w:tcPr>
            <w:tcW w:w="1170"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30,296,657.53</w:t>
            </w:r>
          </w:p>
        </w:tc>
        <w:tc>
          <w:tcPr>
            <w:tcW w:w="802"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3.21</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9" w:type="dxa"/>
        <w:shd w:val="clear" w:color="auto" w:fill="auto"/>
        <w:tblLayout w:type="autofit"/>
        <w:tblCellMar>
          <w:top w:w="0" w:type="dxa"/>
          <w:left w:w="0" w:type="dxa"/>
          <w:bottom w:w="0" w:type="dxa"/>
          <w:right w:w="0" w:type="dxa"/>
        </w:tblCellMar>
      </w:tblPr>
      <w:tblGrid>
        <w:gridCol w:w="758"/>
        <w:gridCol w:w="2374"/>
        <w:gridCol w:w="1725"/>
        <w:gridCol w:w="1347"/>
        <w:gridCol w:w="1038"/>
        <w:gridCol w:w="1291"/>
      </w:tblGrid>
      <w:tr>
        <w:tblPrEx>
          <w:shd w:val="clear" w:color="auto" w:fill="auto"/>
          <w:tblCellMar>
            <w:top w:w="0" w:type="dxa"/>
            <w:left w:w="0" w:type="dxa"/>
            <w:bottom w:w="0" w:type="dxa"/>
            <w:right w:w="0" w:type="dxa"/>
          </w:tblCellMar>
        </w:tblPrEx>
        <w:trPr>
          <w:trHeight w:val="465"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9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300" w:hRule="atLeast"/>
        </w:trPr>
        <w:tc>
          <w:tcPr>
            <w:tcW w:w="44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9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1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kern w:val="0"/>
                <w:sz w:val="18"/>
                <w:szCs w:val="18"/>
                <w:u w:val="none"/>
                <w:lang w:val="en-US" w:eastAsia="zh-CN" w:bidi="ar"/>
              </w:rPr>
            </w:pPr>
            <w:r>
              <w:rPr>
                <w:rFonts w:hint="eastAsia" w:ascii="Arial" w:hAnsi="Arial" w:eastAsia="宋体" w:cs="Arial"/>
                <w:i w:val="0"/>
                <w:color w:val="000000"/>
                <w:kern w:val="0"/>
                <w:sz w:val="20"/>
                <w:szCs w:val="20"/>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13"/>
        <w:gridCol w:w="1272"/>
        <w:gridCol w:w="1110"/>
        <w:gridCol w:w="1185"/>
        <w:gridCol w:w="1080"/>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2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numPr>
          <w:ilvl w:val="0"/>
          <w:numId w:val="0"/>
        </w:numPr>
        <w:ind w:leftChars="0"/>
        <w:rPr>
          <w:rFonts w:hint="default" w:asciiTheme="minorEastAsia" w:hAnsiTheme="minorEastAsia"/>
          <w:szCs w:val="21"/>
          <w:lang w:val="en-US" w:eastAsia="zh-CN"/>
        </w:rPr>
      </w:pPr>
      <w:bookmarkStart w:id="1" w:name="_GoBack"/>
      <w:bookmarkEnd w:id="1"/>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hint="eastAsia" w:asciiTheme="minorEastAsia" w:hAnsiTheme="minorEastAsia"/>
          <w:szCs w:val="21"/>
        </w:rPr>
      </w:pPr>
    </w:p>
    <w:p>
      <w:pPr>
        <w:ind w:firstLine="420" w:firstLineChars="200"/>
        <w:rPr>
          <w:rFonts w:hint="eastAsia" w:asciiTheme="minorEastAsia" w:hAnsiTheme="minorEastAsia"/>
          <w:szCs w:val="21"/>
          <w:lang w:val="en-US" w:eastAsia="zh-CN"/>
        </w:rPr>
      </w:pPr>
    </w:p>
    <w:p>
      <w:pPr>
        <w:ind w:firstLine="5250" w:firstLineChars="2500"/>
        <w:rPr>
          <w:rFonts w:hint="eastAsia" w:asciiTheme="minorEastAsia" w:hAnsiTheme="minorEastAsia"/>
          <w:szCs w:val="21"/>
          <w:lang w:val="en-US" w:eastAsia="zh-CN"/>
        </w:rPr>
      </w:pPr>
      <w:r>
        <w:rPr>
          <w:rFonts w:hint="eastAsia" w:asciiTheme="minorEastAsia" w:hAnsiTheme="minorEastAsia"/>
          <w:szCs w:val="21"/>
          <w:lang w:val="en-US" w:eastAsia="zh-CN"/>
        </w:rPr>
        <w:t>重庆农村商业银行股份有限公司</w:t>
      </w:r>
    </w:p>
    <w:p>
      <w:pPr>
        <w:spacing w:line="480" w:lineRule="exact"/>
        <w:ind w:right="420" w:firstLine="315" w:firstLineChars="150"/>
        <w:jc w:val="center"/>
        <w:rPr>
          <w:rFonts w:hint="default" w:asciiTheme="minorEastAsia" w:hAnsiTheme="minorEastAsia"/>
          <w:szCs w:val="21"/>
          <w:lang w:val="en-US"/>
        </w:rPr>
      </w:pPr>
      <w:r>
        <w:rPr>
          <w:rFonts w:hint="eastAsia" w:asciiTheme="minorEastAsia" w:hAnsiTheme="minorEastAsia"/>
          <w:szCs w:val="21"/>
          <w:lang w:val="en-US" w:eastAsia="zh-CN"/>
        </w:rPr>
        <w:t xml:space="preserve">                                                   </w:t>
      </w:r>
      <w:r>
        <w:rPr>
          <w:rFonts w:asciiTheme="minorEastAsia" w:hAnsiTheme="minorEastAsia"/>
          <w:szCs w:val="21"/>
        </w:rPr>
        <w:t>202</w:t>
      </w:r>
      <w:r>
        <w:rPr>
          <w:rFonts w:hint="eastAsia" w:asciiTheme="minorEastAsia" w:hAnsiTheme="minorEastAsia"/>
          <w:szCs w:val="21"/>
          <w:lang w:val="en-US" w:eastAsia="zh-CN"/>
        </w:rPr>
        <w:t>1年</w:t>
      </w:r>
      <w:r>
        <w:rPr>
          <w:rFonts w:asciiTheme="minorEastAsia" w:hAnsiTheme="minorEastAsia"/>
          <w:szCs w:val="21"/>
        </w:rPr>
        <w:t>1</w:t>
      </w:r>
      <w:r>
        <w:rPr>
          <w:rFonts w:hint="eastAsia" w:asciiTheme="minorEastAsia" w:hAnsiTheme="minorEastAsia"/>
          <w:szCs w:val="21"/>
          <w:lang w:val="en-US" w:eastAsia="zh-CN"/>
        </w:rPr>
        <w:t>月22日</w:t>
      </w:r>
    </w:p>
    <w:bookmarkEnd w:id="0"/>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rPr>
                                  <w:rFonts w:hint="eastAsia"/>
                                  <w:lang w:val="en-US" w:eastAsia="zh-CN"/>
                                </w:rPr>
                                <w:t>2</w:t>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787586759"/>
                    </w:sdtPr>
                    <w:sdtContent>
                      <w:p>
                        <w:pPr>
                          <w:pStyle w:val="14"/>
                          <w:jc w:val="center"/>
                        </w:pPr>
                        <w:r>
                          <w:rPr>
                            <w:rFonts w:hint="eastAsia"/>
                            <w:lang w:val="en-US" w:eastAsia="zh-CN"/>
                          </w:rPr>
                          <w:t>2</w:t>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lang w:val="en-US" w:eastAsia="zh-CN"/>
                            </w:rPr>
                          </w:pPr>
                          <w:r>
                            <w:rPr>
                              <w:rFonts w:hint="eastAsia"/>
                              <w:lang w:val="en-US" w:eastAsia="zh-CN"/>
                            </w:rPr>
                            <w:t>1</w:t>
                          </w:r>
                        </w:p>
                        <w:p>
                          <w:pPr>
                            <w:pStyle w:val="14"/>
                            <w:rPr>
                              <w:rFonts w:hint="default"/>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lang w:val="en-US" w:eastAsia="zh-CN"/>
                      </w:rPr>
                    </w:pPr>
                    <w:r>
                      <w:rPr>
                        <w:rFonts w:hint="eastAsia"/>
                        <w:lang w:val="en-US" w:eastAsia="zh-CN"/>
                      </w:rPr>
                      <w:t>1</w:t>
                    </w:r>
                  </w:p>
                  <w:p>
                    <w:pPr>
                      <w:pStyle w:val="14"/>
                      <w:rPr>
                        <w:rFonts w:hint="default"/>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rPr>
                                  <w:rFonts w:hint="eastAsia"/>
                                  <w:lang w:val="en-US" w:eastAsia="zh-CN"/>
                                </w:rPr>
                                <w:t>2</w:t>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787586759"/>
                    </w:sdtPr>
                    <w:sdtContent>
                      <w:p>
                        <w:pPr>
                          <w:pStyle w:val="14"/>
                          <w:jc w:val="center"/>
                        </w:pPr>
                        <w:r>
                          <w:rPr>
                            <w:rFonts w:hint="eastAsia"/>
                            <w:lang w:val="en-US" w:eastAsia="zh-CN"/>
                          </w:rPr>
                          <w:t>2</w:t>
                        </w:r>
                      </w:p>
                    </w:sdtContent>
                  </w:sdt>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lang w:val="en-US" w:eastAsia="zh-CN"/>
                            </w:rPr>
                          </w:pPr>
                          <w:r>
                            <w:rPr>
                              <w:rFonts w:hint="eastAsia"/>
                              <w:lang w:val="en-US" w:eastAsia="zh-CN"/>
                            </w:rPr>
                            <w:t>1</w:t>
                          </w:r>
                        </w:p>
                        <w:p>
                          <w:pPr>
                            <w:pStyle w:val="14"/>
                            <w:rPr>
                              <w:rFonts w:hint="default"/>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lang w:val="en-US" w:eastAsia="zh-CN"/>
                      </w:rPr>
                    </w:pPr>
                    <w:r>
                      <w:rPr>
                        <w:rFonts w:hint="eastAsia"/>
                        <w:lang w:val="en-US" w:eastAsia="zh-CN"/>
                      </w:rPr>
                      <w:t>1</w:t>
                    </w:r>
                  </w:p>
                  <w:p>
                    <w:pPr>
                      <w:pStyle w:val="14"/>
                      <w:rPr>
                        <w:rFonts w:hint="default"/>
                        <w:lang w:val="en-US"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7720D7"/>
    <w:rsid w:val="07DB680E"/>
    <w:rsid w:val="08613963"/>
    <w:rsid w:val="092D14CE"/>
    <w:rsid w:val="09563133"/>
    <w:rsid w:val="0BD02B2A"/>
    <w:rsid w:val="0FC53136"/>
    <w:rsid w:val="109116D6"/>
    <w:rsid w:val="12413345"/>
    <w:rsid w:val="12931977"/>
    <w:rsid w:val="13814A1B"/>
    <w:rsid w:val="1441580E"/>
    <w:rsid w:val="145B1C45"/>
    <w:rsid w:val="154F13DA"/>
    <w:rsid w:val="182721AC"/>
    <w:rsid w:val="197D5ABF"/>
    <w:rsid w:val="19A54864"/>
    <w:rsid w:val="1BDE0CAD"/>
    <w:rsid w:val="1C760FBE"/>
    <w:rsid w:val="1C915B74"/>
    <w:rsid w:val="1FF23D36"/>
    <w:rsid w:val="21ED676D"/>
    <w:rsid w:val="2350060C"/>
    <w:rsid w:val="25E358EE"/>
    <w:rsid w:val="26FD1903"/>
    <w:rsid w:val="27BD45FF"/>
    <w:rsid w:val="29DA3D49"/>
    <w:rsid w:val="2A0F4201"/>
    <w:rsid w:val="2AEB1E5A"/>
    <w:rsid w:val="2FF34915"/>
    <w:rsid w:val="328522BE"/>
    <w:rsid w:val="331E4C1A"/>
    <w:rsid w:val="335601C3"/>
    <w:rsid w:val="33F54821"/>
    <w:rsid w:val="35DB54D6"/>
    <w:rsid w:val="37512985"/>
    <w:rsid w:val="37B114AF"/>
    <w:rsid w:val="39BA6599"/>
    <w:rsid w:val="3E2835B7"/>
    <w:rsid w:val="3EBE3EFC"/>
    <w:rsid w:val="422B2661"/>
    <w:rsid w:val="42982300"/>
    <w:rsid w:val="43250476"/>
    <w:rsid w:val="472D2614"/>
    <w:rsid w:val="49343EE8"/>
    <w:rsid w:val="4B1E5A56"/>
    <w:rsid w:val="4E6C5390"/>
    <w:rsid w:val="4F05414C"/>
    <w:rsid w:val="51EC6135"/>
    <w:rsid w:val="572F2943"/>
    <w:rsid w:val="57D83C46"/>
    <w:rsid w:val="586214C2"/>
    <w:rsid w:val="5A622306"/>
    <w:rsid w:val="5AB01723"/>
    <w:rsid w:val="5D5E2859"/>
    <w:rsid w:val="5D8B4F22"/>
    <w:rsid w:val="621F0476"/>
    <w:rsid w:val="62F3078C"/>
    <w:rsid w:val="63D37DC1"/>
    <w:rsid w:val="671D7CC1"/>
    <w:rsid w:val="687C70C4"/>
    <w:rsid w:val="69074462"/>
    <w:rsid w:val="6C9B0C01"/>
    <w:rsid w:val="6E546A74"/>
    <w:rsid w:val="6FA67F07"/>
    <w:rsid w:val="75736568"/>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1">
    <w:name w:val="Body text|1"/>
    <w:basedOn w:val="1"/>
    <w:uiPriority w:val="0"/>
    <w:pPr>
      <w:widowControl w:val="0"/>
      <w:shd w:val="clear" w:color="auto" w:fill="auto"/>
      <w:spacing w:after="60" w:line="480"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19</TotalTime>
  <ScaleCrop>false</ScaleCrop>
  <LinksUpToDate>false</LinksUpToDate>
  <CharactersWithSpaces>660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2021-02-20T06:24:23Z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