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lang w:val="en-US" w:eastAsia="zh-CN"/>
        </w:rPr>
        <w:t>渝快宝公募开放式理财产品</w:t>
      </w:r>
    </w:p>
    <w:p>
      <w:pPr>
        <w:jc w:val="center"/>
        <w:rPr>
          <w:rFonts w:eastAsia="仿宋"/>
          <w:b/>
          <w:sz w:val="24"/>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产品名称</w:t>
            </w:r>
          </w:p>
        </w:tc>
        <w:tc>
          <w:tcPr>
            <w:tcW w:w="603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江渝财富“天添金”渝快宝公募开放式理财产品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产品编号</w:t>
            </w:r>
          </w:p>
        </w:tc>
        <w:tc>
          <w:tcPr>
            <w:tcW w:w="603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12019001YKB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C1126719000081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产品类型</w:t>
            </w:r>
          </w:p>
        </w:tc>
        <w:tc>
          <w:tcPr>
            <w:tcW w:w="603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非保本浮动收益型开放式净值型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产品类别</w:t>
            </w:r>
          </w:p>
        </w:tc>
        <w:tc>
          <w:tcPr>
            <w:tcW w:w="6033" w:type="dxa"/>
            <w:vAlign w:val="top"/>
          </w:tcPr>
          <w:p>
            <w:pPr>
              <w:keepNext w:val="0"/>
              <w:keepLines w:val="0"/>
              <w:widowControl/>
              <w:suppressLineNumbers w:val="0"/>
              <w:jc w:val="left"/>
              <w:textAlignment w:val="top"/>
              <w:rPr>
                <w:rFonts w:hint="eastAsia" w:asciiTheme="minorEastAsia" w:hAnsiTheme="minorEastAsia" w:eastAsiaTheme="minorEastAsia"/>
                <w:szCs w:val="21"/>
                <w:lang w:val="en-US" w:eastAsia="zh-CN"/>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内部风险评级</w:t>
            </w:r>
          </w:p>
        </w:tc>
        <w:tc>
          <w:tcPr>
            <w:tcW w:w="603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产品存续规模</w:t>
            </w:r>
          </w:p>
        </w:tc>
        <w:tc>
          <w:tcPr>
            <w:tcW w:w="6033" w:type="dxa"/>
            <w:vAlign w:val="top"/>
          </w:tcPr>
          <w:p>
            <w:pPr>
              <w:keepNext w:val="0"/>
              <w:keepLines w:val="0"/>
              <w:widowControl/>
              <w:suppressLineNumbers w:val="0"/>
              <w:jc w:val="left"/>
              <w:textAlignment w:val="top"/>
              <w:rPr>
                <w:rFonts w:hint="default" w:asciiTheme="minorEastAsia" w:hAnsiTheme="minorEastAsia"/>
                <w:szCs w:val="21"/>
                <w:lang w:val="en-US"/>
              </w:rPr>
            </w:pPr>
            <w:r>
              <w:rPr>
                <w:rFonts w:hint="eastAsia" w:ascii="宋体" w:hAnsi="宋体" w:eastAsia="宋体" w:cs="宋体"/>
                <w:i w:val="0"/>
                <w:color w:val="000000"/>
                <w:kern w:val="0"/>
                <w:sz w:val="18"/>
                <w:szCs w:val="18"/>
                <w:u w:val="none"/>
                <w:lang w:val="en-US" w:eastAsia="zh-CN" w:bidi="ar"/>
              </w:rPr>
              <w:t>58,158,974,958.44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业绩比较基准</w:t>
            </w:r>
          </w:p>
        </w:tc>
        <w:tc>
          <w:tcPr>
            <w:tcW w:w="603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中国人民银行公布的7天通知存款利率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产品成立日</w:t>
            </w:r>
          </w:p>
        </w:tc>
        <w:tc>
          <w:tcPr>
            <w:tcW w:w="603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2019年5月22日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产品到期日</w:t>
            </w:r>
          </w:p>
        </w:tc>
        <w:tc>
          <w:tcPr>
            <w:tcW w:w="603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产品托管行</w:t>
            </w:r>
          </w:p>
        </w:tc>
        <w:tc>
          <w:tcPr>
            <w:tcW w:w="603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产品托管账户</w:t>
            </w:r>
          </w:p>
        </w:tc>
        <w:tc>
          <w:tcPr>
            <w:tcW w:w="6033" w:type="dxa"/>
            <w:vAlign w:val="top"/>
          </w:tcPr>
          <w:p>
            <w:pPr>
              <w:keepNext w:val="0"/>
              <w:keepLines w:val="0"/>
              <w:widowControl/>
              <w:suppressLineNumbers w:val="0"/>
              <w:jc w:val="left"/>
              <w:textAlignment w:val="top"/>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346010100102084636</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58,158,974,958.44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58,191,059,232.36</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49,581,405,544.52</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6,847,818,800.03</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1,761,834,887.81</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833"/>
        <w:gridCol w:w="236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49" w:type="pct"/>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资产名称</w:t>
            </w:r>
          </w:p>
        </w:tc>
        <w:tc>
          <w:tcPr>
            <w:tcW w:w="1386" w:type="pct"/>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3833"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20进出09</w:t>
            </w:r>
          </w:p>
        </w:tc>
        <w:tc>
          <w:tcPr>
            <w:tcW w:w="2362"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1,412,869,903.06</w:t>
            </w:r>
          </w:p>
        </w:tc>
        <w:tc>
          <w:tcPr>
            <w:tcW w:w="1668"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3833"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银行存款</w:t>
            </w:r>
          </w:p>
        </w:tc>
        <w:tc>
          <w:tcPr>
            <w:tcW w:w="2362"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949,818,349.56</w:t>
            </w:r>
          </w:p>
        </w:tc>
        <w:tc>
          <w:tcPr>
            <w:tcW w:w="1668"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3833"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20浦发银行CD388</w:t>
            </w:r>
          </w:p>
        </w:tc>
        <w:tc>
          <w:tcPr>
            <w:tcW w:w="2362"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542,507,877.92</w:t>
            </w:r>
          </w:p>
        </w:tc>
        <w:tc>
          <w:tcPr>
            <w:tcW w:w="1668"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3833"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17渝豪江MTN001</w:t>
            </w:r>
          </w:p>
        </w:tc>
        <w:tc>
          <w:tcPr>
            <w:tcW w:w="2362"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520,447,093.58</w:t>
            </w:r>
          </w:p>
        </w:tc>
        <w:tc>
          <w:tcPr>
            <w:tcW w:w="1668"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3833"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17渝南资产PPN002</w:t>
            </w:r>
          </w:p>
        </w:tc>
        <w:tc>
          <w:tcPr>
            <w:tcW w:w="2362"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518,519,472.26</w:t>
            </w:r>
          </w:p>
        </w:tc>
        <w:tc>
          <w:tcPr>
            <w:tcW w:w="1668"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3833"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河南九鼎金融租赁股份有限公司同业借款</w:t>
            </w:r>
          </w:p>
        </w:tc>
        <w:tc>
          <w:tcPr>
            <w:tcW w:w="2362"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518,298,611.11</w:t>
            </w:r>
          </w:p>
        </w:tc>
        <w:tc>
          <w:tcPr>
            <w:tcW w:w="1668"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3833"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7日质押式逆回购</w:t>
            </w:r>
          </w:p>
        </w:tc>
        <w:tc>
          <w:tcPr>
            <w:tcW w:w="2362"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500,175,342.48</w:t>
            </w:r>
          </w:p>
        </w:tc>
        <w:tc>
          <w:tcPr>
            <w:tcW w:w="1668"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3833"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20郑州银行CD170</w:t>
            </w:r>
          </w:p>
        </w:tc>
        <w:tc>
          <w:tcPr>
            <w:tcW w:w="2362"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490,145,023.43</w:t>
            </w:r>
          </w:p>
        </w:tc>
        <w:tc>
          <w:tcPr>
            <w:tcW w:w="1668"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3833"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20平安银行CD302</w:t>
            </w:r>
          </w:p>
        </w:tc>
        <w:tc>
          <w:tcPr>
            <w:tcW w:w="2362"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489,850,589.24</w:t>
            </w:r>
          </w:p>
        </w:tc>
        <w:tc>
          <w:tcPr>
            <w:tcW w:w="1668"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3833"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20平安银行CD231</w:t>
            </w:r>
          </w:p>
        </w:tc>
        <w:tc>
          <w:tcPr>
            <w:tcW w:w="2362" w:type="dxa"/>
            <w:vAlign w:val="top"/>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489,389,141.35</w:t>
            </w:r>
          </w:p>
        </w:tc>
        <w:tc>
          <w:tcPr>
            <w:tcW w:w="1668" w:type="dxa"/>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0.84</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552"/>
        <w:gridCol w:w="1547"/>
        <w:gridCol w:w="1347"/>
        <w:gridCol w:w="1038"/>
        <w:gridCol w:w="1291"/>
      </w:tblGrid>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49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90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9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0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4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215"/>
        <w:gridCol w:w="645"/>
        <w:gridCol w:w="1350"/>
        <w:gridCol w:w="1608"/>
        <w:gridCol w:w="1632"/>
        <w:gridCol w:w="975"/>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3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79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94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9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关联方 </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名称</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713"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兴业消费20200324-2亿</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同业借款</w:t>
            </w:r>
          </w:p>
        </w:tc>
        <w:tc>
          <w:tcPr>
            <w:tcW w:w="792"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TYJKX202003170004</w:t>
            </w:r>
          </w:p>
        </w:tc>
        <w:tc>
          <w:tcPr>
            <w:tcW w:w="943" w:type="pct"/>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200,000,000.00</w:t>
            </w:r>
          </w:p>
        </w:tc>
        <w:tc>
          <w:tcPr>
            <w:tcW w:w="1632" w:type="dxa"/>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200,000,000.00</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向控股子公司提供其他</w:t>
            </w:r>
            <w:bookmarkStart w:id="1" w:name="_GoBack"/>
            <w:bookmarkEnd w:id="1"/>
            <w:r>
              <w:rPr>
                <w:rFonts w:hint="eastAsia" w:ascii="宋体" w:hAnsi="宋体" w:eastAsia="宋体" w:cs="宋体"/>
                <w:i w:val="0"/>
                <w:color w:val="000000"/>
                <w:sz w:val="18"/>
                <w:szCs w:val="18"/>
                <w:u w:val="none"/>
                <w:lang w:val="en-US" w:eastAsia="zh-CN"/>
              </w:rPr>
              <w:t>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713"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20兴业银行CD411</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同业存单</w:t>
            </w:r>
          </w:p>
        </w:tc>
        <w:tc>
          <w:tcPr>
            <w:tcW w:w="792"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112010411</w:t>
            </w:r>
          </w:p>
        </w:tc>
        <w:tc>
          <w:tcPr>
            <w:tcW w:w="943" w:type="pct"/>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3,000,000.00</w:t>
            </w:r>
          </w:p>
        </w:tc>
        <w:tc>
          <w:tcPr>
            <w:tcW w:w="1632" w:type="dxa"/>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293,308,800.00</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发行方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713"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20兴业银行CD415</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同业存单</w:t>
            </w:r>
          </w:p>
        </w:tc>
        <w:tc>
          <w:tcPr>
            <w:tcW w:w="792"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112010415</w:t>
            </w:r>
          </w:p>
        </w:tc>
        <w:tc>
          <w:tcPr>
            <w:tcW w:w="943" w:type="pct"/>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2,000,000.00</w:t>
            </w:r>
          </w:p>
        </w:tc>
        <w:tc>
          <w:tcPr>
            <w:tcW w:w="1632" w:type="dxa"/>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193,986,400.00</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发行方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c>
          <w:tcPr>
            <w:tcW w:w="713"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20兴业银行CD467</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同业存单</w:t>
            </w:r>
          </w:p>
        </w:tc>
        <w:tc>
          <w:tcPr>
            <w:tcW w:w="792"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112010467</w:t>
            </w:r>
          </w:p>
        </w:tc>
        <w:tc>
          <w:tcPr>
            <w:tcW w:w="943" w:type="pct"/>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2,000,000.00</w:t>
            </w:r>
          </w:p>
        </w:tc>
        <w:tc>
          <w:tcPr>
            <w:tcW w:w="1632" w:type="dxa"/>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193,798,400.00</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发行方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c>
          <w:tcPr>
            <w:tcW w:w="713"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17兴业租赁二级</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二级资本工具</w:t>
            </w:r>
          </w:p>
        </w:tc>
        <w:tc>
          <w:tcPr>
            <w:tcW w:w="792"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1722032</w:t>
            </w:r>
          </w:p>
        </w:tc>
        <w:tc>
          <w:tcPr>
            <w:tcW w:w="943" w:type="pct"/>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1,000,000.00</w:t>
            </w:r>
          </w:p>
        </w:tc>
        <w:tc>
          <w:tcPr>
            <w:tcW w:w="1632" w:type="dxa"/>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100,971,900.00</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c>
          <w:tcPr>
            <w:tcW w:w="713"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20如皋沿江PPN001</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非公开定向债务融资工具</w:t>
            </w:r>
          </w:p>
        </w:tc>
        <w:tc>
          <w:tcPr>
            <w:tcW w:w="792"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032000326</w:t>
            </w:r>
          </w:p>
        </w:tc>
        <w:tc>
          <w:tcPr>
            <w:tcW w:w="943" w:type="pct"/>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1,500,000.00</w:t>
            </w:r>
          </w:p>
        </w:tc>
        <w:tc>
          <w:tcPr>
            <w:tcW w:w="1632" w:type="dxa"/>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150,000,000.00</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w:t>
            </w:r>
          </w:p>
        </w:tc>
        <w:tc>
          <w:tcPr>
            <w:tcW w:w="713"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20如皋沿江PPN002</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非公开定向债务融资工具</w:t>
            </w:r>
          </w:p>
        </w:tc>
        <w:tc>
          <w:tcPr>
            <w:tcW w:w="792"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032000350</w:t>
            </w:r>
          </w:p>
        </w:tc>
        <w:tc>
          <w:tcPr>
            <w:tcW w:w="943" w:type="pct"/>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1,300,000.00</w:t>
            </w:r>
          </w:p>
        </w:tc>
        <w:tc>
          <w:tcPr>
            <w:tcW w:w="1632" w:type="dxa"/>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130,635,753.42</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19缙云资产PPN001</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非公开定向债务融资工具</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031900343</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1,500,000.00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155,598,597.27</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17荆州城投PPN001</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非公开定向债务融资工具</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031760013</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1,300,000.00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131,971,895.34</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20华邦健康SCP003</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超短期融资券</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012002816</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1,200,000.00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120,000,000.00</w:t>
            </w:r>
          </w:p>
        </w:tc>
        <w:tc>
          <w:tcPr>
            <w:tcW w:w="572"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兴业银行股份有限公司、重庆农村商业银行股份有限公司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19如皋沿江PPN001</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非公开定向债务融资工具</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031900284</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450,000.00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46,975,068.49</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20闽漳龙SCP005</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超短期融资券</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012004280</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2,000,000.00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200,000,000.00</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19如皋沿江PPN002</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非公开定向债务融资工具</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031900424</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220,000.00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22,919,268.49</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兴业银行股份有限公司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17万盛经开MTN001</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中期票据</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101764031</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900,000.00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92,692,128.41</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重庆农村商业银行股份有限公司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20浦里开发PPN001</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非公开定向债务融资工具</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032000443</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1,100,000.00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110,942,684.93</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重庆农村商业银行股份有限公司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16</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20开乾投资MTN001</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中期票据</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102002021</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2,700,000.00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270,000,000.00</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重庆农村商业银行股份有限公司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17</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18康达环保PPN001</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非公开定向债务融资工具</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031800354</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900,000.00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93,532,191.78</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重庆农村商业银行股份有限公司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3" w:type="pct"/>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18</w:t>
            </w:r>
          </w:p>
        </w:tc>
        <w:tc>
          <w:tcPr>
            <w:tcW w:w="713"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20合川城投PPN001</w:t>
            </w:r>
          </w:p>
        </w:tc>
        <w:tc>
          <w:tcPr>
            <w:tcW w:w="378" w:type="pct"/>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非公开定向债务融资工具</w:t>
            </w:r>
          </w:p>
        </w:tc>
        <w:tc>
          <w:tcPr>
            <w:tcW w:w="792" w:type="pct"/>
            <w:vAlign w:val="center"/>
          </w:tcPr>
          <w:p>
            <w:pPr>
              <w:keepNext w:val="0"/>
              <w:keepLines w:val="0"/>
              <w:widowControl/>
              <w:suppressLineNumbers w:val="0"/>
              <w:jc w:val="center"/>
              <w:textAlignment w:val="bottom"/>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032000999</w:t>
            </w:r>
          </w:p>
        </w:tc>
        <w:tc>
          <w:tcPr>
            <w:tcW w:w="943" w:type="pct"/>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1,900,000.00</w:t>
            </w:r>
          </w:p>
        </w:tc>
        <w:tc>
          <w:tcPr>
            <w:tcW w:w="1632" w:type="dxa"/>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default" w:ascii="Arial" w:hAnsi="Arial" w:eastAsia="宋体" w:cs="Arial"/>
                <w:i w:val="0"/>
                <w:color w:val="000000"/>
                <w:kern w:val="0"/>
                <w:sz w:val="20"/>
                <w:szCs w:val="20"/>
                <w:u w:val="none"/>
                <w:lang w:val="en-US" w:eastAsia="zh-CN" w:bidi="ar"/>
              </w:rPr>
              <w:t>190,000,000.00</w:t>
            </w:r>
          </w:p>
        </w:tc>
        <w:tc>
          <w:tcPr>
            <w:tcW w:w="572"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重庆农村商业银行股份有限公司</w:t>
            </w:r>
          </w:p>
        </w:tc>
        <w:tc>
          <w:tcPr>
            <w:tcW w:w="408" w:type="pct"/>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承销商</w:t>
            </w:r>
          </w:p>
        </w:tc>
      </w:tr>
    </w:tbl>
    <w:p>
      <w:pPr>
        <w:numPr>
          <w:ilvl w:val="0"/>
          <w:numId w:val="0"/>
        </w:numPr>
        <w:ind w:leftChars="0"/>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备注：上述资产金额为该期产品买入成本</w:t>
      </w:r>
    </w:p>
    <w:p>
      <w:pPr>
        <w:numPr>
          <w:ilvl w:val="0"/>
          <w:numId w:val="0"/>
        </w:numPr>
        <w:ind w:leftChars="0"/>
        <w:rPr>
          <w:rFonts w:hint="default" w:asciiTheme="minorEastAsia" w:hAnsiTheme="minorEastAsia"/>
          <w:sz w:val="18"/>
          <w:szCs w:val="18"/>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5547104"/>
    <w:rsid w:val="07DB680E"/>
    <w:rsid w:val="08613963"/>
    <w:rsid w:val="092D14CE"/>
    <w:rsid w:val="09563133"/>
    <w:rsid w:val="0AB30FD5"/>
    <w:rsid w:val="0BD02B2A"/>
    <w:rsid w:val="0FC53136"/>
    <w:rsid w:val="10437526"/>
    <w:rsid w:val="109116D6"/>
    <w:rsid w:val="11C74FC5"/>
    <w:rsid w:val="12413345"/>
    <w:rsid w:val="12931977"/>
    <w:rsid w:val="129D6D8D"/>
    <w:rsid w:val="134A02B1"/>
    <w:rsid w:val="13814A1B"/>
    <w:rsid w:val="1441580E"/>
    <w:rsid w:val="145B1C45"/>
    <w:rsid w:val="154F13DA"/>
    <w:rsid w:val="15A93684"/>
    <w:rsid w:val="15AD4C10"/>
    <w:rsid w:val="16DC1C31"/>
    <w:rsid w:val="182721AC"/>
    <w:rsid w:val="186C391F"/>
    <w:rsid w:val="197D5ABF"/>
    <w:rsid w:val="19A54864"/>
    <w:rsid w:val="1BDE0CAD"/>
    <w:rsid w:val="1C760FBE"/>
    <w:rsid w:val="1FF23D36"/>
    <w:rsid w:val="21ED676D"/>
    <w:rsid w:val="2350060C"/>
    <w:rsid w:val="25E358EE"/>
    <w:rsid w:val="26FD1903"/>
    <w:rsid w:val="27BD45FF"/>
    <w:rsid w:val="28533E18"/>
    <w:rsid w:val="29DA3D49"/>
    <w:rsid w:val="2A0F4201"/>
    <w:rsid w:val="2AEB1E5A"/>
    <w:rsid w:val="2FF34915"/>
    <w:rsid w:val="304E1FD7"/>
    <w:rsid w:val="328522BE"/>
    <w:rsid w:val="331E4C1A"/>
    <w:rsid w:val="335601C3"/>
    <w:rsid w:val="33803312"/>
    <w:rsid w:val="33A72906"/>
    <w:rsid w:val="33F54821"/>
    <w:rsid w:val="35DB54D6"/>
    <w:rsid w:val="37B114AF"/>
    <w:rsid w:val="39BA6599"/>
    <w:rsid w:val="3AA879DF"/>
    <w:rsid w:val="3B886A18"/>
    <w:rsid w:val="3D42014D"/>
    <w:rsid w:val="3E2835B7"/>
    <w:rsid w:val="3EBE3EFC"/>
    <w:rsid w:val="422B2661"/>
    <w:rsid w:val="42982300"/>
    <w:rsid w:val="43250476"/>
    <w:rsid w:val="472D2614"/>
    <w:rsid w:val="49343EE8"/>
    <w:rsid w:val="49577FE7"/>
    <w:rsid w:val="49E944EF"/>
    <w:rsid w:val="4AAA5255"/>
    <w:rsid w:val="4B1E5A56"/>
    <w:rsid w:val="4E6C5390"/>
    <w:rsid w:val="4F05414C"/>
    <w:rsid w:val="51EC6135"/>
    <w:rsid w:val="53954A88"/>
    <w:rsid w:val="572F2943"/>
    <w:rsid w:val="57D83C46"/>
    <w:rsid w:val="581415D6"/>
    <w:rsid w:val="586214C2"/>
    <w:rsid w:val="5A622306"/>
    <w:rsid w:val="5AB01723"/>
    <w:rsid w:val="5D5E2859"/>
    <w:rsid w:val="5D8B4F22"/>
    <w:rsid w:val="5D8E0815"/>
    <w:rsid w:val="5EEF1B99"/>
    <w:rsid w:val="60D67AF0"/>
    <w:rsid w:val="621F0476"/>
    <w:rsid w:val="63D37DC1"/>
    <w:rsid w:val="64BA7F8C"/>
    <w:rsid w:val="671D7CC1"/>
    <w:rsid w:val="687C70C4"/>
    <w:rsid w:val="69074462"/>
    <w:rsid w:val="6C9B0C01"/>
    <w:rsid w:val="6E546A74"/>
    <w:rsid w:val="6E9E0B21"/>
    <w:rsid w:val="6FA67F07"/>
    <w:rsid w:val="701A517C"/>
    <w:rsid w:val="704A1EB8"/>
    <w:rsid w:val="73FD1529"/>
    <w:rsid w:val="75736568"/>
    <w:rsid w:val="76497199"/>
    <w:rsid w:val="773E6275"/>
    <w:rsid w:val="777A54F0"/>
    <w:rsid w:val="788C0951"/>
    <w:rsid w:val="78995AEB"/>
    <w:rsid w:val="791C4ED9"/>
    <w:rsid w:val="79882DEC"/>
    <w:rsid w:val="79FE5971"/>
    <w:rsid w:val="7A401EA6"/>
    <w:rsid w:val="7BA6096B"/>
    <w:rsid w:val="7DAE5DA0"/>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2</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2022-01-04T07:05:23Z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