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渝农商理财江渝财富天添金益惠封闭式理财产品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</w:t>
      </w:r>
      <w:r>
        <w:rPr>
          <w:rFonts w:hint="eastAsia"/>
          <w:b/>
          <w:bCs/>
          <w:sz w:val="30"/>
          <w:szCs w:val="30"/>
        </w:rPr>
        <w:t>2020年第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1001期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渝农商理财江渝财富天添金益惠封闭式理财产品2020年第61001期2020年10月15日投资非标资产情况如下：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060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10"/>
        <w:gridCol w:w="1065"/>
        <w:gridCol w:w="1005"/>
        <w:gridCol w:w="780"/>
        <w:gridCol w:w="915"/>
        <w:gridCol w:w="840"/>
        <w:gridCol w:w="66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  结构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1001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2020年10月15日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重庆市南川区惠农文化旅游发展集团有限公司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20渝南川惠农文旅ZR001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987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6.8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按年付息到期还本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债权融资计划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2021年02月01日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B6A48"/>
    <w:rsid w:val="174C7E51"/>
    <w:rsid w:val="192B6A48"/>
    <w:rsid w:val="20EA6E27"/>
    <w:rsid w:val="2EE85659"/>
    <w:rsid w:val="30A76BC5"/>
    <w:rsid w:val="6814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2021-02-01T07:30:00Z</dcterms:created>
  <dc:creator>PC</dc:creator>
  <cp:lastModifiedBy>李晓璐</cp:lastModifiedBy>
  <dcterms:modified xsi:type="dcterms:W3CDTF">2021-02-04T08:20:34Z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