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  <w:lang w:val="en-US" w:eastAsia="zh-CN"/>
        </w:rPr>
        <w:t>0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41012</w:t>
      </w:r>
      <w:r>
        <w:rPr>
          <w:rFonts w:hint="eastAsia"/>
          <w:b/>
          <w:bCs/>
          <w:sz w:val="30"/>
          <w:szCs w:val="30"/>
        </w:rPr>
        <w:t>期理财产品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渝农商理财江渝财富天添金益进封闭式2020年第41012期理财产品2020年12月29日投资非标资产情况如下：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300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95"/>
        <w:gridCol w:w="1170"/>
        <w:gridCol w:w="1050"/>
        <w:gridCol w:w="840"/>
        <w:gridCol w:w="795"/>
        <w:gridCol w:w="705"/>
        <w:gridCol w:w="69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GSGF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41012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2020年12月29日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冀银金融租赁股份有限公司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冀银租赁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268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4.85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利随本清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同业借款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76DDA"/>
    <w:rsid w:val="60876DDA"/>
    <w:rsid w:val="782C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2021-02-01T11:22:00Z</dcterms:created>
  <dc:creator>PC</dc:creator>
  <cp:lastModifiedBy>PC</cp:lastModifiedBy>
  <dcterms:modified xsi:type="dcterms:W3CDTF">2021-02-02T10:34:56Z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