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渝农商理财江渝财富天添金兴时1年定开4号理财产品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538,268,361.00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555,031,001.84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1.0311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557,526,309.48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278,563,170.30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49.96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245,801,500.00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44.09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33,161,639.18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557,526,309.48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155,108,500.00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90,693,000.00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50,123,559.45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永赢迅利中高等级短债A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50,120,124.53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50,087,808.17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39,366,070.33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兴业短债A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39,113,681.18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33,161,639.18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南方祥元A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29,999,049.24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19皋投01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13,477,579.40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3.6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新郑市投资集团有限公司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6.3</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8"/>
        <w:gridCol w:w="1210"/>
        <w:gridCol w:w="1222"/>
        <w:gridCol w:w="1168"/>
        <w:gridCol w:w="107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3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1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6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7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0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238"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1210"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同业借款</w:t>
            </w:r>
          </w:p>
        </w:tc>
        <w:tc>
          <w:tcPr>
            <w:tcW w:w="12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TJ20210716002</w:t>
            </w:r>
          </w:p>
        </w:tc>
        <w:tc>
          <w:tcPr>
            <w:tcW w:w="1168"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90,000,000.00</w:t>
            </w:r>
          </w:p>
        </w:tc>
        <w:tc>
          <w:tcPr>
            <w:tcW w:w="107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90,693,000.00</w:t>
            </w:r>
          </w:p>
        </w:tc>
        <w:tc>
          <w:tcPr>
            <w:tcW w:w="1609"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4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pPr>
        <w:ind w:firstLine="6090" w:firstLineChars="2900"/>
      </w:pP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C73308C"/>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304DB0"/>
    <w:rsid w:val="197D5ABF"/>
    <w:rsid w:val="19A54864"/>
    <w:rsid w:val="1AB60040"/>
    <w:rsid w:val="1BDE0CAD"/>
    <w:rsid w:val="1C75596F"/>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06639EE"/>
    <w:rsid w:val="31721B70"/>
    <w:rsid w:val="3185531A"/>
    <w:rsid w:val="328522BE"/>
    <w:rsid w:val="331E4C1A"/>
    <w:rsid w:val="335601C3"/>
    <w:rsid w:val="33E54851"/>
    <w:rsid w:val="33F54821"/>
    <w:rsid w:val="35DB54D6"/>
    <w:rsid w:val="35FA333C"/>
    <w:rsid w:val="37B114AF"/>
    <w:rsid w:val="37D92BA3"/>
    <w:rsid w:val="383E199E"/>
    <w:rsid w:val="399F28EF"/>
    <w:rsid w:val="39BA6599"/>
    <w:rsid w:val="3A422C5A"/>
    <w:rsid w:val="3D732D56"/>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4693644"/>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2021-10-27T04:18:28Z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