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sz w:val="24"/>
        </w:rPr>
      </w:pPr>
      <w:bookmarkStart w:id="0" w:name="_Toc524626124"/>
      <w:r>
        <w:rPr>
          <w:rFonts w:hint="eastAsia" w:ascii="宋体" w:hAnsi="宋体" w:eastAsia="宋体" w:cs="宋体"/>
          <w:b/>
          <w:sz w:val="32"/>
          <w:szCs w:val="32"/>
        </w:rPr>
        <w:t>渝农商理财有限责任公司</w:t>
      </w:r>
      <w:r>
        <w:rPr>
          <w:rFonts w:hint="eastAsia" w:ascii="宋体" w:hAnsi="宋体" w:eastAsia="宋体" w:cs="宋体"/>
          <w:b/>
          <w:color w:val="auto"/>
          <w:sz w:val="32"/>
          <w:u w:val="none"/>
        </w:rPr>
        <w:t>渝农商理财江渝财富天添金兴时1年定开5号理财产品</w:t>
      </w:r>
      <w:r>
        <w:rPr>
          <w:rFonts w:hint="eastAsia" w:ascii="宋体" w:hAnsi="宋体" w:eastAsia="宋体" w:cs="宋体"/>
          <w:b/>
          <w:color w:val="auto"/>
          <w:sz w:val="32"/>
          <w:u w:val="none"/>
          <w:lang w:val="en-US" w:eastAsia="zh-CN"/>
        </w:rPr>
        <w:t>2021</w:t>
      </w:r>
      <w:r>
        <w:rPr>
          <w:rFonts w:hint="eastAsia" w:ascii="宋体" w:hAnsi="宋体" w:eastAsia="宋体" w:cs="宋体"/>
          <w:b/>
          <w:color w:val="auto"/>
          <w:sz w:val="32"/>
          <w:u w:val="none"/>
        </w:rPr>
        <w:t>年第</w:t>
      </w:r>
      <w:r>
        <w:rPr>
          <w:rFonts w:hint="eastAsia" w:ascii="宋体" w:hAnsi="宋体" w:eastAsia="宋体" w:cs="宋体"/>
          <w:b/>
          <w:color w:val="auto"/>
          <w:sz w:val="32"/>
          <w:u w:val="none"/>
          <w:lang w:val="en-US" w:eastAsia="zh-CN"/>
        </w:rPr>
        <w:t>三</w:t>
      </w:r>
      <w:r>
        <w:rPr>
          <w:rFonts w:hint="eastAsia" w:ascii="宋体" w:hAnsi="宋体" w:eastAsia="宋体" w:cs="宋体"/>
          <w:b/>
          <w:color w:val="auto"/>
          <w:sz w:val="32"/>
          <w:u w:val="none"/>
        </w:rPr>
        <w:t>季度投资管理报告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渝农商理财江渝财富天添金兴时1年定开5号理财产品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21GSGK41002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Z7002721000017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固定收益类公募产品</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1,000,000,000.00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2021年2月9日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123912301610897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中国国际金融股份有限公司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2021年9月30日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rPr>
                <w:rFonts w:hint="eastAsia" w:ascii="宋体" w:hAnsi="宋体" w:eastAsia="宋体"/>
                <w:sz w:val="18"/>
                <w:szCs w:val="18"/>
              </w:rPr>
            </w:pPr>
            <w:r>
              <w:rPr>
                <w:rFonts w:hint="eastAsia" w:ascii="宋体" w:hAnsi="宋体" w:eastAsia="宋体"/>
                <w:sz w:val="18"/>
                <w:szCs w:val="18"/>
              </w:rPr>
              <w:t>1,029,919,354.34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rPr>
                <w:rFonts w:hint="eastAsia" w:ascii="宋体" w:hAnsi="宋体" w:eastAsia="宋体"/>
                <w:sz w:val="18"/>
                <w:szCs w:val="18"/>
              </w:rPr>
            </w:pPr>
            <w:r>
              <w:rPr>
                <w:rFonts w:hint="eastAsia" w:ascii="宋体" w:hAnsi="宋体" w:eastAsia="宋体"/>
                <w:sz w:val="18"/>
                <w:szCs w:val="18"/>
              </w:rPr>
              <w:t>1.0299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rPr>
                <w:rFonts w:ascii="宋体" w:hAnsi="宋体" w:eastAsia="宋体"/>
                <w:sz w:val="18"/>
                <w:szCs w:val="18"/>
              </w:rPr>
            </w:pPr>
            <w:r>
              <w:rPr>
                <w:rFonts w:hint="eastAsia" w:ascii="宋体" w:hAnsi="宋体" w:eastAsia="宋体"/>
                <w:sz w:val="18"/>
                <w:szCs w:val="18"/>
              </w:rPr>
              <w:t>1.0299</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695"/>
        <w:gridCol w:w="2345"/>
        <w:gridCol w:w="1481"/>
        <w:gridCol w:w="1327"/>
        <w:gridCol w:w="1290"/>
        <w:gridCol w:w="1195"/>
      </w:tblGrid>
      <w:tr>
        <w:tblPrEx>
          <w:tblCellMar>
            <w:top w:w="0" w:type="dxa"/>
            <w:left w:w="0" w:type="dxa"/>
            <w:bottom w:w="0" w:type="dxa"/>
            <w:right w:w="0" w:type="dxa"/>
          </w:tblCellMar>
        </w:tblPrEx>
        <w:trPr>
          <w:trHeight w:val="312"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234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固定收益类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822,376,044.16</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79.44</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212,802,947.84</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20.56</w:t>
            </w:r>
          </w:p>
        </w:tc>
      </w:tr>
      <w:tr>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其中：债券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301,414,412.12</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29.1</w:t>
            </w:r>
            <w:r>
              <w:rPr>
                <w:rFonts w:hint="eastAsia" w:ascii="宋体" w:hAnsi="宋体" w:eastAsia="宋体" w:cs="宋体"/>
                <w:bCs/>
                <w:kern w:val="0"/>
                <w:sz w:val="18"/>
                <w:szCs w:val="18"/>
                <w:lang w:val="en-US" w:eastAsia="zh-CN" w:bidi="ar"/>
              </w:rPr>
              <w:t>1</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212,802,947.84</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20.56</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一般债权</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463,560,114.50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44.78</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资产支持证券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现金及货币工具</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57,401,517.54</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5.55</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权益类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商品及金融衍生类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混合类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5</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合计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822,376,044.16</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79.44</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212,802,947.84</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20.56</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p>
      <w:pPr>
        <w:rPr>
          <w:rFonts w:ascii="宋体" w:hAnsi="宋体" w:eastAsia="宋体" w:cs="宋体"/>
          <w:color w:val="000000"/>
        </w:rPr>
      </w:pPr>
      <w:r>
        <w:rPr>
          <w:rFonts w:ascii="宋体" w:hAnsi="宋体" w:eastAsia="宋体" w:cs="宋体"/>
          <w:color w:val="000000"/>
        </w:rPr>
        <w:t>报告期末本产品总资产未超过该产品净资产规模的140%，符合产品杠杆比例的要求。</w:t>
      </w:r>
    </w:p>
    <w:p>
      <w:pPr>
        <w:rPr>
          <w:rFonts w:ascii="宋体" w:hAnsi="宋体" w:eastAsia="宋体" w:cs="宋体"/>
          <w:color w:val="000000"/>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86"/>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186"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中金锦嘉1号集合资产管理计划</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212,802,947.84</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20.56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渝农商租赁</w:t>
            </w:r>
            <w:r>
              <w:rPr>
                <w:rFonts w:hint="eastAsia" w:ascii="宋体" w:hAnsi="宋体" w:eastAsia="宋体" w:cs="宋体"/>
                <w:color w:val="000000"/>
                <w:kern w:val="0"/>
                <w:sz w:val="18"/>
                <w:szCs w:val="18"/>
                <w:lang w:val="en-US" w:eastAsia="zh-CN" w:bidi="ar"/>
              </w:rPr>
              <w:t>同业借款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151,018,958.33</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19南湖投资01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104,189,041.10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20创投02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94,063,843.97</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20江来01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90,239,245.89</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19嘉秀发展01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83,454,991.78</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20嘉秀发展01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72,710,821.92</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19肇庆02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62,014,485.20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57,401,517.54</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19溧水城建01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52,186,301.37</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5.04</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2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980"/>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98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198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南京溧水城市建设集团有限公司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19溧水城建01</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81</w:t>
            </w:r>
          </w:p>
        </w:tc>
        <w:tc>
          <w:tcPr>
            <w:tcW w:w="851"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5.6</w:t>
            </w:r>
            <w:r>
              <w:rPr>
                <w:rFonts w:hint="eastAsia" w:ascii="宋体" w:hAnsi="宋体" w:eastAsia="宋体" w:cs="宋体"/>
                <w:color w:val="000000"/>
                <w:kern w:val="0"/>
                <w:sz w:val="18"/>
                <w:szCs w:val="18"/>
                <w:lang w:val="en-US" w:eastAsia="zh-CN" w:bidi="ar"/>
              </w:rPr>
              <w:t>0</w:t>
            </w:r>
          </w:p>
        </w:tc>
        <w:tc>
          <w:tcPr>
            <w:tcW w:w="813"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按年付息到期还本</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理财直接融资工具</w:t>
            </w:r>
          </w:p>
        </w:tc>
        <w:tc>
          <w:tcPr>
            <w:tcW w:w="77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198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嘉兴市嘉秀发展投资控股集团有限公司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20嘉秀发展01</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109</w:t>
            </w:r>
          </w:p>
        </w:tc>
        <w:tc>
          <w:tcPr>
            <w:tcW w:w="851"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5.5</w:t>
            </w:r>
            <w:r>
              <w:rPr>
                <w:rFonts w:hint="eastAsia" w:ascii="宋体" w:hAnsi="宋体" w:eastAsia="宋体" w:cs="宋体"/>
                <w:color w:val="000000"/>
                <w:kern w:val="0"/>
                <w:sz w:val="18"/>
                <w:szCs w:val="18"/>
                <w:lang w:val="en-US" w:eastAsia="zh-CN" w:bidi="ar"/>
              </w:rPr>
              <w:t>0</w:t>
            </w:r>
          </w:p>
        </w:tc>
        <w:tc>
          <w:tcPr>
            <w:tcW w:w="813"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按年付息到期还本</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理财直接融资工具</w:t>
            </w:r>
          </w:p>
        </w:tc>
        <w:tc>
          <w:tcPr>
            <w:tcW w:w="77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198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嘉兴市南湖投资开发建设集团有限公司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19南湖投资01</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88</w:t>
            </w:r>
          </w:p>
        </w:tc>
        <w:tc>
          <w:tcPr>
            <w:tcW w:w="851"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5.5</w:t>
            </w:r>
            <w:r>
              <w:rPr>
                <w:rFonts w:hint="eastAsia" w:ascii="宋体" w:hAnsi="宋体" w:eastAsia="宋体" w:cs="宋体"/>
                <w:color w:val="000000"/>
                <w:kern w:val="0"/>
                <w:sz w:val="18"/>
                <w:szCs w:val="18"/>
                <w:lang w:val="en-US" w:eastAsia="zh-CN" w:bidi="ar"/>
              </w:rPr>
              <w:t>0</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按年付息到期还本</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理财直接融资工具</w:t>
            </w:r>
          </w:p>
        </w:tc>
        <w:tc>
          <w:tcPr>
            <w:tcW w:w="77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198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渝农商金融租赁有限责任公司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渝农商租赁</w:t>
            </w:r>
            <w:r>
              <w:rPr>
                <w:rFonts w:hint="eastAsia" w:ascii="宋体" w:hAnsi="宋体" w:eastAsia="宋体" w:cs="宋体"/>
                <w:color w:val="000000"/>
                <w:kern w:val="0"/>
                <w:sz w:val="18"/>
                <w:szCs w:val="18"/>
                <w:lang w:val="en-US" w:eastAsia="zh-CN" w:bidi="ar"/>
              </w:rPr>
              <w:t>同业借款</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132</w:t>
            </w:r>
          </w:p>
        </w:tc>
        <w:tc>
          <w:tcPr>
            <w:tcW w:w="851"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3.65</w:t>
            </w:r>
          </w:p>
        </w:tc>
        <w:tc>
          <w:tcPr>
            <w:tcW w:w="813"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利随本清</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同业借款</w:t>
            </w:r>
          </w:p>
        </w:tc>
        <w:tc>
          <w:tcPr>
            <w:tcW w:w="77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198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嘉兴市嘉秀发展投资控股集团有限公司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19嘉秀发展01</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73</w:t>
            </w:r>
          </w:p>
        </w:tc>
        <w:tc>
          <w:tcPr>
            <w:tcW w:w="851"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5.38</w:t>
            </w:r>
          </w:p>
        </w:tc>
        <w:tc>
          <w:tcPr>
            <w:tcW w:w="813"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按年付息到期还本</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理财直接融资工具</w:t>
            </w:r>
          </w:p>
        </w:tc>
        <w:tc>
          <w:tcPr>
            <w:tcW w:w="77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48"/>
        <w:gridCol w:w="1232"/>
        <w:gridCol w:w="1211"/>
        <w:gridCol w:w="1050"/>
        <w:gridCol w:w="1136"/>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48"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3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11"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050"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13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41"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1248" w:type="dxa"/>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渝农商租赁</w:t>
            </w:r>
            <w:r>
              <w:rPr>
                <w:rFonts w:hint="eastAsia" w:ascii="宋体" w:hAnsi="宋体" w:eastAsia="宋体" w:cs="宋体"/>
                <w:color w:val="000000"/>
                <w:kern w:val="0"/>
                <w:sz w:val="18"/>
                <w:szCs w:val="18"/>
                <w:lang w:val="en-US" w:eastAsia="zh-CN" w:bidi="ar"/>
              </w:rPr>
              <w:t>同业借款</w:t>
            </w:r>
          </w:p>
        </w:tc>
        <w:tc>
          <w:tcPr>
            <w:tcW w:w="1232" w:type="dxa"/>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同业借款</w:t>
            </w:r>
          </w:p>
        </w:tc>
        <w:tc>
          <w:tcPr>
            <w:tcW w:w="1211" w:type="dxa"/>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TJ20210726006</w:t>
            </w:r>
          </w:p>
        </w:tc>
        <w:tc>
          <w:tcPr>
            <w:tcW w:w="1050" w:type="dxa"/>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150,000,000.00</w:t>
            </w:r>
          </w:p>
        </w:tc>
        <w:tc>
          <w:tcPr>
            <w:tcW w:w="1136" w:type="dxa"/>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151,018,958.33</w:t>
            </w:r>
          </w:p>
        </w:tc>
        <w:tc>
          <w:tcPr>
            <w:tcW w:w="1641" w:type="dxa"/>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渝农商金融租赁有限责任公司</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85"/>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285" w:type="dxa"/>
          </w:tcPr>
          <w:p>
            <w:pPr>
              <w:jc w:val="center"/>
            </w:pPr>
            <w:r>
              <w:t>/</w:t>
            </w:r>
          </w:p>
        </w:tc>
        <w:tc>
          <w:tcPr>
            <w:tcW w:w="1843" w:type="dxa"/>
          </w:tcPr>
          <w:p>
            <w:pPr>
              <w:jc w:val="center"/>
            </w:pPr>
            <w:r>
              <w:t>/</w:t>
            </w:r>
          </w:p>
        </w:tc>
        <w:tc>
          <w:tcPr>
            <w:tcW w:w="1276" w:type="dxa"/>
          </w:tcPr>
          <w:p>
            <w:pPr>
              <w:jc w:val="center"/>
            </w:pPr>
            <w:r>
              <w:t>/</w:t>
            </w:r>
          </w:p>
        </w:tc>
        <w:tc>
          <w:tcPr>
            <w:tcW w:w="1559" w:type="dxa"/>
          </w:tcPr>
          <w:p>
            <w:pPr>
              <w:jc w:val="center"/>
            </w:pPr>
            <w:r>
              <w:t>/</w:t>
            </w:r>
          </w:p>
        </w:tc>
        <w:tc>
          <w:tcPr>
            <w:tcW w:w="1560" w:type="dxa"/>
          </w:tcPr>
          <w:p>
            <w:pPr>
              <w:jc w:val="center"/>
            </w:pPr>
            <w: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w:t>
      </w:r>
      <w:r>
        <w:rPr>
          <w:rFonts w:hint="eastAsia" w:asciiTheme="minorEastAsia" w:hAnsiTheme="minorEastAsia"/>
          <w:lang w:val="en-US" w:eastAsia="zh-CN"/>
        </w:rPr>
        <w:t>司</w:t>
      </w:r>
      <w:r>
        <w:rPr>
          <w:rFonts w:hint="eastAsia" w:asciiTheme="minorEastAsia" w:hAnsiTheme="minorEastAsia"/>
        </w:rPr>
        <w:t>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hint="eastAsia" w:asciiTheme="minorEastAsia" w:hAnsiTheme="minorEastAsia"/>
        </w:rPr>
      </w:pPr>
      <w:r>
        <w:rPr>
          <w:rFonts w:hint="eastAsia" w:asciiTheme="minorEastAsia" w:hAnsiTheme="minorEastAsia"/>
          <w:lang w:eastAsia="zh-CN"/>
        </w:rPr>
        <w:t>（</w:t>
      </w:r>
      <w:r>
        <w:rPr>
          <w:rFonts w:hint="eastAsia" w:asciiTheme="minorEastAsia" w:hAnsiTheme="minorEastAsia"/>
          <w:lang w:val="en-US" w:eastAsia="zh-CN"/>
        </w:rPr>
        <w:t>三</w:t>
      </w:r>
      <w:r>
        <w:rPr>
          <w:rFonts w:hint="eastAsia" w:asciiTheme="minorEastAsia" w:hAnsiTheme="minorEastAsia"/>
          <w:lang w:eastAsia="zh-CN"/>
        </w:rPr>
        <w:t>）</w:t>
      </w: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bookmarkEnd w:id="0"/>
    <w:p>
      <w:pPr>
        <w:rPr>
          <w:rFonts w:hint="eastAsia" w:asciiTheme="minorEastAsia" w:hAnsiTheme="minorEastAsia"/>
          <w:szCs w:val="21"/>
          <w:lang w:val="en-US" w:eastAsia="zh-CN"/>
        </w:rPr>
      </w:pPr>
    </w:p>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ind w:firstLine="420"/>
        <w:rPr>
          <w:rFonts w:hint="eastAsia" w:cs="宋体" w:asciiTheme="minorEastAsia" w:hAnsiTheme="minorEastAsia"/>
          <w:kern w:val="0"/>
        </w:rPr>
      </w:pPr>
      <w:r>
        <w:rPr>
          <w:rFonts w:hint="eastAsia" w:asciiTheme="minorEastAsia" w:hAnsiTheme="minorEastAsia"/>
          <w:szCs w:val="21"/>
        </w:rPr>
        <w:t>本产品托管人为</w:t>
      </w:r>
      <w:r>
        <w:rPr>
          <w:rFonts w:hint="eastAsia" w:cs="宋体" w:asciiTheme="minorEastAsia" w:hAnsiTheme="minorEastAsia"/>
          <w:kern w:val="0"/>
        </w:rPr>
        <w:t>招商银行股份有限公司。</w:t>
      </w:r>
    </w:p>
    <w:p>
      <w:pPr>
        <w:ind w:firstLine="420"/>
        <w:rPr>
          <w:rFonts w:hint="eastAsia" w:cs="宋体" w:asciiTheme="minorEastAsia" w:hAnsiTheme="minorEastAsia"/>
          <w:kern w:val="0"/>
          <w:lang w:val="en-US" w:eastAsia="zh-CN"/>
        </w:rPr>
      </w:pPr>
      <w:r>
        <w:rPr>
          <w:rFonts w:hint="eastAsia" w:cs="宋体" w:asciiTheme="minorEastAsia" w:hAnsiTheme="minorEastAsia"/>
          <w:kern w:val="0"/>
          <w:lang w:val="en-US" w:eastAsia="zh-CN"/>
        </w:rPr>
        <w:t>托管人声明：报告期内，资产托管人严格遵守有关法律法规、托管协议关于托管人职责的约定，尽职尽责地履行了托管职责并安全保管托管资产。</w:t>
      </w:r>
    </w:p>
    <w:p>
      <w:pPr>
        <w:ind w:firstLine="420"/>
        <w:rPr>
          <w:rFonts w:hint="default" w:cs="宋体" w:asciiTheme="minorEastAsia" w:hAnsiTheme="minorEastAsia"/>
          <w:kern w:val="0"/>
          <w:lang w:val="en-US" w:eastAsia="zh-CN"/>
        </w:rPr>
      </w:pPr>
      <w:r>
        <w:rPr>
          <w:rFonts w:hint="eastAsia" w:cs="宋体" w:asciiTheme="minorEastAsia" w:hAnsiTheme="minorEastAsia"/>
          <w:kern w:val="0"/>
          <w:lang w:val="en-US" w:eastAsia="zh-CN"/>
        </w:rPr>
        <w:t>在管理人提供的各项数据和信息真实、准确、有效的前提下，在托管人能够知悉和掌握的情况范围内，托管人对渝农商理财江渝财富天添金兴时1年定开5号理财产品2021年第3季度报告中的截止报告期末财务数据进行了复核。</w:t>
      </w: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rPr>
          <w:rFonts w:asciiTheme="minorEastAsia" w:hAnsiTheme="minorEastAsia"/>
          <w:szCs w:val="21"/>
        </w:rPr>
      </w:pPr>
      <w:r>
        <w:rPr>
          <w:rFonts w:hint="eastAsia" w:asciiTheme="minorEastAsia" w:hAnsiTheme="minorEastAsia"/>
          <w:szCs w:val="21"/>
        </w:rPr>
        <w:t>2021年10月</w:t>
      </w:r>
      <w:r>
        <w:rPr>
          <w:rFonts w:hint="eastAsia" w:asciiTheme="minorEastAsia" w:hAnsiTheme="minorEastAsia"/>
          <w:szCs w:val="21"/>
          <w:lang w:val="en-US" w:eastAsia="zh-CN"/>
        </w:rPr>
        <w:t>26</w:t>
      </w:r>
      <w:r>
        <w:rPr>
          <w:rFonts w:hint="eastAsia" w:asciiTheme="minorEastAsia" w:hAnsiTheme="minorEastAsia"/>
          <w:szCs w:val="21"/>
        </w:rPr>
        <w:t>日</w:t>
      </w:r>
    </w:p>
    <w:p>
      <w:pPr>
        <w:rPr>
          <w:rFonts w:asciiTheme="minorEastAsia" w:hAnsiTheme="minorEastAsia"/>
          <w:szCs w:val="21"/>
        </w:rPr>
      </w:pPr>
    </w:p>
    <w:p/>
    <w:sectPr>
      <w:headerReference r:id="rId3" w:type="default"/>
      <w:pgSz w:w="11906" w:h="16838"/>
      <w:pgMar w:top="1440" w:right="1800" w:bottom="1440" w:left="1800"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3DD1"/>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03ED"/>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527A"/>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0E6"/>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3035"/>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7C16A08"/>
    <w:rsid w:val="081F1FB9"/>
    <w:rsid w:val="08613963"/>
    <w:rsid w:val="08783007"/>
    <w:rsid w:val="088B58D3"/>
    <w:rsid w:val="08BA008A"/>
    <w:rsid w:val="09563133"/>
    <w:rsid w:val="099A2105"/>
    <w:rsid w:val="0FB525EE"/>
    <w:rsid w:val="0FC53136"/>
    <w:rsid w:val="0FE909DC"/>
    <w:rsid w:val="109116D6"/>
    <w:rsid w:val="118B56B4"/>
    <w:rsid w:val="12570CDF"/>
    <w:rsid w:val="12931977"/>
    <w:rsid w:val="12BD274E"/>
    <w:rsid w:val="13814A1B"/>
    <w:rsid w:val="14395093"/>
    <w:rsid w:val="145B1C45"/>
    <w:rsid w:val="154F13DA"/>
    <w:rsid w:val="16344310"/>
    <w:rsid w:val="168610F5"/>
    <w:rsid w:val="182721AC"/>
    <w:rsid w:val="18FB1CF2"/>
    <w:rsid w:val="197D5ABF"/>
    <w:rsid w:val="19A54864"/>
    <w:rsid w:val="1AB60040"/>
    <w:rsid w:val="1BDE0CAD"/>
    <w:rsid w:val="1C760FBE"/>
    <w:rsid w:val="1D3F0AD5"/>
    <w:rsid w:val="1FF23D36"/>
    <w:rsid w:val="21ED676D"/>
    <w:rsid w:val="22A30C64"/>
    <w:rsid w:val="22C40D15"/>
    <w:rsid w:val="2350060C"/>
    <w:rsid w:val="23774DFB"/>
    <w:rsid w:val="245909A5"/>
    <w:rsid w:val="25E358EE"/>
    <w:rsid w:val="265C67DD"/>
    <w:rsid w:val="26970B26"/>
    <w:rsid w:val="27BD45FF"/>
    <w:rsid w:val="28FE4662"/>
    <w:rsid w:val="29361C2B"/>
    <w:rsid w:val="29774466"/>
    <w:rsid w:val="2A0F4201"/>
    <w:rsid w:val="2AEB1E5A"/>
    <w:rsid w:val="2B8625BE"/>
    <w:rsid w:val="2D2B448E"/>
    <w:rsid w:val="2DD97006"/>
    <w:rsid w:val="2FF34915"/>
    <w:rsid w:val="31721B70"/>
    <w:rsid w:val="3185531A"/>
    <w:rsid w:val="328522BE"/>
    <w:rsid w:val="331E4C1A"/>
    <w:rsid w:val="335601C3"/>
    <w:rsid w:val="33F54821"/>
    <w:rsid w:val="35DB54D6"/>
    <w:rsid w:val="37B114AF"/>
    <w:rsid w:val="383E199E"/>
    <w:rsid w:val="399F28EF"/>
    <w:rsid w:val="39BA6599"/>
    <w:rsid w:val="3A422C5A"/>
    <w:rsid w:val="422B2661"/>
    <w:rsid w:val="426224A6"/>
    <w:rsid w:val="42982300"/>
    <w:rsid w:val="43250476"/>
    <w:rsid w:val="44307945"/>
    <w:rsid w:val="44362FF7"/>
    <w:rsid w:val="45B31BF8"/>
    <w:rsid w:val="472D2614"/>
    <w:rsid w:val="4897220E"/>
    <w:rsid w:val="48C804F4"/>
    <w:rsid w:val="49343EE8"/>
    <w:rsid w:val="49364B27"/>
    <w:rsid w:val="499E1B50"/>
    <w:rsid w:val="4B1E5A56"/>
    <w:rsid w:val="4BE87463"/>
    <w:rsid w:val="4C665F1D"/>
    <w:rsid w:val="4CC0510F"/>
    <w:rsid w:val="4E6C5390"/>
    <w:rsid w:val="4F05414C"/>
    <w:rsid w:val="4F4A58E6"/>
    <w:rsid w:val="50B46402"/>
    <w:rsid w:val="51EC6135"/>
    <w:rsid w:val="554E0EFA"/>
    <w:rsid w:val="572F2943"/>
    <w:rsid w:val="57D83C46"/>
    <w:rsid w:val="586214C2"/>
    <w:rsid w:val="590A25B0"/>
    <w:rsid w:val="5A622306"/>
    <w:rsid w:val="5AB01723"/>
    <w:rsid w:val="5D5E2859"/>
    <w:rsid w:val="606F79B2"/>
    <w:rsid w:val="621F0476"/>
    <w:rsid w:val="6230351A"/>
    <w:rsid w:val="63D37DC1"/>
    <w:rsid w:val="671D7CC1"/>
    <w:rsid w:val="687C70C4"/>
    <w:rsid w:val="69074462"/>
    <w:rsid w:val="695E0C31"/>
    <w:rsid w:val="6A250A96"/>
    <w:rsid w:val="6C9B0C01"/>
    <w:rsid w:val="6D5B3725"/>
    <w:rsid w:val="6E546A74"/>
    <w:rsid w:val="6FA67F07"/>
    <w:rsid w:val="73322D14"/>
    <w:rsid w:val="75736568"/>
    <w:rsid w:val="75BB7A80"/>
    <w:rsid w:val="773E6275"/>
    <w:rsid w:val="77BF4795"/>
    <w:rsid w:val="788C0951"/>
    <w:rsid w:val="78C3218A"/>
    <w:rsid w:val="79882DEC"/>
    <w:rsid w:val="79FE5971"/>
    <w:rsid w:val="7B1860A1"/>
    <w:rsid w:val="7BA6096B"/>
    <w:rsid w:val="7CE165B6"/>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1CB3F-E02C-44C6-929D-9DEAACDEE8EC}">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181</Words>
  <Characters>1033</Characters>
  <Lines>8</Lines>
  <Paragraphs>2</Paragraphs>
  <TotalTime>0</TotalTime>
  <ScaleCrop>false</ScaleCrop>
  <LinksUpToDate>false</LinksUpToDate>
  <CharactersWithSpaces>1212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2021-10-27T04:18:41Z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F5EE217228A04ED88293BFDDA0457F4A</vt:lpwstr>
  </property>
</Properties>
</file>