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渝农商理财有限责任公司渝农商理财江渝财富天添金兴时</w:t>
      </w:r>
    </w:p>
    <w:p>
      <w:pPr>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rPr>
        <w:t>1年定开6号理财产品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w:t>
      </w:r>
    </w:p>
    <w:p>
      <w:pPr>
        <w:spacing w:line="360" w:lineRule="auto"/>
        <w:jc w:val="center"/>
        <w:rPr>
          <w:rFonts w:eastAsia="仿宋"/>
          <w:b/>
          <w:sz w:val="24"/>
        </w:rPr>
      </w:pPr>
      <w:r>
        <w:rPr>
          <w:rFonts w:hint="eastAsia" w:asciiTheme="minorEastAsia" w:hAnsiTheme="minorEastAsia"/>
          <w:b/>
          <w:sz w:val="32"/>
          <w:szCs w:val="32"/>
          <w:lang w:val="en-US" w:eastAsia="zh-CN"/>
        </w:rPr>
        <w:t>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渝农商理财江渝财富天添金兴时1年定开6号理财产品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21GSGK41003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745,388,015.00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756,746,583.49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1.0152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61"/>
        <w:gridCol w:w="1565"/>
        <w:gridCol w:w="1490"/>
        <w:gridCol w:w="1330"/>
        <w:gridCol w:w="1290"/>
        <w:gridCol w:w="1197"/>
      </w:tblGrid>
      <w:tr>
        <w:tblPrEx>
          <w:tblCellMar>
            <w:top w:w="0" w:type="dxa"/>
            <w:left w:w="0" w:type="dxa"/>
            <w:bottom w:w="0" w:type="dxa"/>
            <w:right w:w="0" w:type="dxa"/>
          </w:tblCellMar>
        </w:tblPrEx>
        <w:trPr>
          <w:trHeight w:val="312"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592,411,648.17</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78.11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165,975,039.46</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21.89</w:t>
            </w:r>
          </w:p>
        </w:tc>
      </w:tr>
      <w:tr>
        <w:tblPrEx>
          <w:tblCellMar>
            <w:top w:w="0" w:type="dxa"/>
            <w:left w:w="0" w:type="dxa"/>
            <w:bottom w:w="0" w:type="dxa"/>
            <w:right w:w="0" w:type="dxa"/>
          </w:tblCellMar>
        </w:tblPrEx>
        <w:trPr>
          <w:trHeight w:val="5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306,462,914.12</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40.41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165,975,039.46</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21.89</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242,090,162.64</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31.92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43,858,571.41</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5.78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592,411,648.17</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78.11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165,975,039.46</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21.89</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165,975,039.46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20济南高新01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85,588,152.78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19溧水城建01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82,368,876.71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19嘉秀发展01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74,133,133.15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19宁城02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56,940,286.99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19常经01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56,192,592.33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17迈瑞01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54,153,705.48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20南新03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51,442,931.51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20创投02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51,179,890.41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43,858,571.41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5.78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济南高新控股集团有限公司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20济南高新01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230</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5.30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南京溧水城市建设集团有限公司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19溧水城建01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173</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5.60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嘉兴市嘉秀发展投资控股集团有限公司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19嘉秀发展01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165</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5.38</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招商银行根据法规、托管协议以及双方约定的投资监督条款，对渝农商理财江渝财富天添金兴时1年定开6号理财产品的投资行为进行监督。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在对渝农商理财江渝财富天添金兴时1年定开6号理财产品托管的过程中，严格遵守有关法律法规、托管协议的规定，尽职尽责地履行托管义务并安全保管托管资产。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6FD1D2C"/>
    <w:rsid w:val="07C16A08"/>
    <w:rsid w:val="07EE2529"/>
    <w:rsid w:val="081F1FB9"/>
    <w:rsid w:val="08613963"/>
    <w:rsid w:val="08717181"/>
    <w:rsid w:val="08783007"/>
    <w:rsid w:val="08BA008A"/>
    <w:rsid w:val="09563133"/>
    <w:rsid w:val="099A2105"/>
    <w:rsid w:val="0FB525EE"/>
    <w:rsid w:val="0FC53136"/>
    <w:rsid w:val="0FE909DC"/>
    <w:rsid w:val="109116D6"/>
    <w:rsid w:val="12570CDF"/>
    <w:rsid w:val="12931977"/>
    <w:rsid w:val="12BD274E"/>
    <w:rsid w:val="1378641F"/>
    <w:rsid w:val="13814A1B"/>
    <w:rsid w:val="145B1C45"/>
    <w:rsid w:val="154F13DA"/>
    <w:rsid w:val="15F40A44"/>
    <w:rsid w:val="16344310"/>
    <w:rsid w:val="168610F5"/>
    <w:rsid w:val="182721AC"/>
    <w:rsid w:val="18FB1CF2"/>
    <w:rsid w:val="197D5ABF"/>
    <w:rsid w:val="19A54864"/>
    <w:rsid w:val="1AB60040"/>
    <w:rsid w:val="1BDE0CAD"/>
    <w:rsid w:val="1C760FBE"/>
    <w:rsid w:val="1C8540F6"/>
    <w:rsid w:val="1D3F0AD5"/>
    <w:rsid w:val="1FF23D36"/>
    <w:rsid w:val="217D4F17"/>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27420B"/>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72F2943"/>
    <w:rsid w:val="57D83C46"/>
    <w:rsid w:val="586214C2"/>
    <w:rsid w:val="590A25B0"/>
    <w:rsid w:val="5A622306"/>
    <w:rsid w:val="5AB01723"/>
    <w:rsid w:val="5D5E2859"/>
    <w:rsid w:val="5E834C1F"/>
    <w:rsid w:val="5EAB25D9"/>
    <w:rsid w:val="621F0476"/>
    <w:rsid w:val="6230351A"/>
    <w:rsid w:val="63D37DC1"/>
    <w:rsid w:val="671D7CC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A40BEF"/>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2021-07-21T01:57:13Z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