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渝农商理财有限责任公司渝农商理财江渝财富天添金兴时</w:t>
      </w:r>
    </w:p>
    <w:p>
      <w:pPr>
        <w:spacing w:line="36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rPr>
        <w:t>1年定开7号理财产品</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w:t>
      </w:r>
    </w:p>
    <w:p>
      <w:pPr>
        <w:spacing w:line="360" w:lineRule="auto"/>
        <w:jc w:val="center"/>
        <w:rPr>
          <w:rFonts w:eastAsia="仿宋"/>
          <w:b/>
          <w:sz w:val="24"/>
        </w:rPr>
      </w:pPr>
      <w:r>
        <w:rPr>
          <w:rFonts w:hint="eastAsia" w:asciiTheme="minorEastAsia" w:hAnsiTheme="minorEastAsia"/>
          <w:b/>
          <w:sz w:val="32"/>
          <w:szCs w:val="32"/>
          <w:lang w:val="en-US" w:eastAsia="zh-CN"/>
        </w:rPr>
        <w:t>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渝农商理财江渝财富天添金兴时1年定开7号理财产品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21GSGK41004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Z7002721000019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723,664,454.00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2021年03月19日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中国国际金融股份有限公司，广发基金管理有限公司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732,247,464.98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1.0118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03"/>
        <w:gridCol w:w="1565"/>
        <w:gridCol w:w="1486"/>
        <w:gridCol w:w="1293"/>
        <w:gridCol w:w="1421"/>
        <w:gridCol w:w="1165"/>
      </w:tblGrid>
      <w:tr>
        <w:tblPrEx>
          <w:tblCellMar>
            <w:top w:w="0" w:type="dxa"/>
            <w:left w:w="0" w:type="dxa"/>
            <w:bottom w:w="0" w:type="dxa"/>
            <w:right w:w="0" w:type="dxa"/>
          </w:tblCellMar>
        </w:tblPrEx>
        <w:trPr>
          <w:trHeight w:val="312" w:hRule="atLeast"/>
        </w:trPr>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7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5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5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388,696,068.79</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52.99</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263,799,799.80</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35.97</w:t>
            </w:r>
          </w:p>
        </w:tc>
      </w:tr>
      <w:tr>
        <w:tblPrEx>
          <w:tblCellMar>
            <w:top w:w="0" w:type="dxa"/>
            <w:left w:w="0" w:type="dxa"/>
            <w:bottom w:w="0" w:type="dxa"/>
            <w:right w:w="0" w:type="dxa"/>
          </w:tblCellMar>
        </w:tblPrEx>
        <w:trPr>
          <w:trHeight w:val="50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284,100,132.60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38.73</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263,799,799.80</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35.97</w:t>
            </w:r>
          </w:p>
        </w:tc>
      </w:tr>
      <w:tr>
        <w:tblPrEx>
          <w:tblCellMar>
            <w:top w:w="0" w:type="dxa"/>
            <w:left w:w="0" w:type="dxa"/>
            <w:bottom w:w="0" w:type="dxa"/>
            <w:right w:w="0" w:type="dxa"/>
          </w:tblCellMar>
        </w:tblPrEx>
        <w:trPr>
          <w:trHeight w:val="40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45,031,500.00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6.14</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59,564,436.19</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8.12</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80,985,128.02</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11.04</w:t>
            </w:r>
          </w:p>
        </w:tc>
      </w:tr>
      <w:tr>
        <w:tblPrEx>
          <w:tblCellMar>
            <w:top w:w="0" w:type="dxa"/>
            <w:left w:w="0" w:type="dxa"/>
            <w:bottom w:w="0" w:type="dxa"/>
            <w:right w:w="0" w:type="dxa"/>
          </w:tblCellMar>
        </w:tblPrEx>
        <w:trPr>
          <w:trHeight w:val="400" w:hRule="atLeast"/>
        </w:trPr>
        <w:tc>
          <w:tcPr>
            <w:tcW w:w="1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388,696,068.79</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52.99</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344,784,927.82</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47.01</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中金锦嘉2号集合资产管理计划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263,799,799.80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广发基金锦嘉2021年1号FOF集合资产管理计划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80,584,000.00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20香投01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69,993,601.64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20创投02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62,437,026.30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59,564,436.19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21吉控01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57,195,868.49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19新郑发投01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45,031,500.00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17迈瑞01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36,867,019.73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19肇庆02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25,968,779.18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20涪交03</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24,382,066.85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3.32</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新郑新区发展投资有限责任公司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19新郑发投01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180</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6.30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按季付息到期还本</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招商银行根据法规、托管协议以及双方约定的投资监督条款，对渝农商理财江渝财富天添金兴时1年定开7号理财产品的投资行为进行监督。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在对渝农商理财江渝财富天添金兴时1年定开7号理财产品托管的过程中，严格遵守有关法律法规、托管协议的规定，尽职尽责地履行托管义务并安全保管托管资产。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7EE2529"/>
    <w:rsid w:val="081F1FB9"/>
    <w:rsid w:val="08613963"/>
    <w:rsid w:val="08717181"/>
    <w:rsid w:val="08783007"/>
    <w:rsid w:val="08BA008A"/>
    <w:rsid w:val="09563133"/>
    <w:rsid w:val="099A2105"/>
    <w:rsid w:val="0C5B7762"/>
    <w:rsid w:val="0FB525EE"/>
    <w:rsid w:val="0FC53136"/>
    <w:rsid w:val="0FE909DC"/>
    <w:rsid w:val="109116D6"/>
    <w:rsid w:val="12570CDF"/>
    <w:rsid w:val="12931977"/>
    <w:rsid w:val="12BD274E"/>
    <w:rsid w:val="13814A1B"/>
    <w:rsid w:val="144073AC"/>
    <w:rsid w:val="145B1C45"/>
    <w:rsid w:val="154F13DA"/>
    <w:rsid w:val="15B455F4"/>
    <w:rsid w:val="15F40A44"/>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D3F1C20"/>
    <w:rsid w:val="2F7867EE"/>
    <w:rsid w:val="2FF34915"/>
    <w:rsid w:val="31721B70"/>
    <w:rsid w:val="3185531A"/>
    <w:rsid w:val="328522BE"/>
    <w:rsid w:val="331E4C1A"/>
    <w:rsid w:val="335601C3"/>
    <w:rsid w:val="33F54821"/>
    <w:rsid w:val="34B15EB6"/>
    <w:rsid w:val="35DB54D6"/>
    <w:rsid w:val="37B114AF"/>
    <w:rsid w:val="383E199E"/>
    <w:rsid w:val="384A1DB9"/>
    <w:rsid w:val="399F28EF"/>
    <w:rsid w:val="39BA6599"/>
    <w:rsid w:val="3A422C5A"/>
    <w:rsid w:val="3BF9095C"/>
    <w:rsid w:val="422B2661"/>
    <w:rsid w:val="426224A6"/>
    <w:rsid w:val="42982300"/>
    <w:rsid w:val="43250476"/>
    <w:rsid w:val="44307945"/>
    <w:rsid w:val="44AD5964"/>
    <w:rsid w:val="45B31BF8"/>
    <w:rsid w:val="472D2614"/>
    <w:rsid w:val="4897220E"/>
    <w:rsid w:val="48C804F4"/>
    <w:rsid w:val="49343EE8"/>
    <w:rsid w:val="49364B27"/>
    <w:rsid w:val="499E1B50"/>
    <w:rsid w:val="49BB6ABC"/>
    <w:rsid w:val="4B1E5A56"/>
    <w:rsid w:val="4BE87463"/>
    <w:rsid w:val="4C665F1D"/>
    <w:rsid w:val="4CC0510F"/>
    <w:rsid w:val="4DF0263F"/>
    <w:rsid w:val="4E6C5390"/>
    <w:rsid w:val="4EB11C6C"/>
    <w:rsid w:val="4F05414C"/>
    <w:rsid w:val="51EC6135"/>
    <w:rsid w:val="572F2943"/>
    <w:rsid w:val="57D83C46"/>
    <w:rsid w:val="586214C2"/>
    <w:rsid w:val="590A25B0"/>
    <w:rsid w:val="5A622306"/>
    <w:rsid w:val="5AB01723"/>
    <w:rsid w:val="5D5E2859"/>
    <w:rsid w:val="621F0476"/>
    <w:rsid w:val="6230351A"/>
    <w:rsid w:val="63D37DC1"/>
    <w:rsid w:val="671D7CC1"/>
    <w:rsid w:val="687C70C4"/>
    <w:rsid w:val="69074462"/>
    <w:rsid w:val="695E0C31"/>
    <w:rsid w:val="6A250A96"/>
    <w:rsid w:val="6C9B0C01"/>
    <w:rsid w:val="6D5B3725"/>
    <w:rsid w:val="6E546A74"/>
    <w:rsid w:val="6FA67F07"/>
    <w:rsid w:val="70314F7E"/>
    <w:rsid w:val="73322D14"/>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2021-07-21T01:57:29Z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