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sz w:val="24"/>
        </w:rPr>
      </w:pPr>
      <w:bookmarkStart w:id="0" w:name="_Toc524626124"/>
      <w:r>
        <w:rPr>
          <w:rFonts w:hint="eastAsia" w:ascii="宋体" w:hAnsi="宋体" w:eastAsia="宋体" w:cs="宋体"/>
          <w:b/>
          <w:sz w:val="32"/>
          <w:szCs w:val="32"/>
        </w:rPr>
        <w:t>渝农商理财有限责任公司</w:t>
      </w:r>
      <w:r>
        <w:rPr>
          <w:rFonts w:hint="eastAsia" w:ascii="宋体" w:hAnsi="宋体" w:eastAsia="宋体" w:cs="宋体"/>
          <w:b/>
          <w:color w:val="auto"/>
          <w:sz w:val="32"/>
          <w:u w:val="none"/>
        </w:rPr>
        <w:t>渝农商理财江渝财富天添金兴时6个月定开3号理财产品</w:t>
      </w:r>
      <w:r>
        <w:rPr>
          <w:rFonts w:hint="eastAsia" w:ascii="宋体" w:hAnsi="宋体" w:eastAsia="宋体" w:cs="宋体"/>
          <w:b/>
          <w:color w:val="auto"/>
          <w:sz w:val="32"/>
          <w:u w:val="none"/>
          <w:lang w:val="en-US" w:eastAsia="zh-CN"/>
        </w:rPr>
        <w:t>2021</w:t>
      </w:r>
      <w:r>
        <w:rPr>
          <w:rFonts w:hint="eastAsia" w:ascii="宋体" w:hAnsi="宋体" w:eastAsia="宋体" w:cs="宋体"/>
          <w:b/>
          <w:color w:val="auto"/>
          <w:sz w:val="32"/>
          <w:u w:val="none"/>
        </w:rPr>
        <w:t>年第</w:t>
      </w:r>
      <w:r>
        <w:rPr>
          <w:rFonts w:hint="eastAsia" w:ascii="宋体" w:hAnsi="宋体" w:eastAsia="宋体" w:cs="宋体"/>
          <w:b/>
          <w:color w:val="auto"/>
          <w:sz w:val="32"/>
          <w:u w:val="none"/>
          <w:lang w:val="en-US" w:eastAsia="zh-CN"/>
        </w:rPr>
        <w:t>三</w:t>
      </w:r>
      <w:r>
        <w:rPr>
          <w:rFonts w:hint="eastAsia" w:ascii="宋体" w:hAnsi="宋体" w:eastAsia="宋体" w:cs="宋体"/>
          <w:b/>
          <w:color w:val="auto"/>
          <w:sz w:val="32"/>
          <w:u w:val="none"/>
        </w:rPr>
        <w:t>季度投资管理报告</w:t>
      </w:r>
    </w:p>
    <w:p>
      <w:pPr>
        <w:spacing w:line="360" w:lineRule="auto"/>
        <w:rPr>
          <w:rFonts w:asciiTheme="minorEastAsia" w:hAnsiTheme="minorEastAsia"/>
          <w:szCs w:val="21"/>
        </w:rPr>
      </w:pPr>
      <w:r>
        <w:rPr>
          <w:rFonts w:asciiTheme="minorEastAsia" w:hAnsiTheme="minorEastAsia"/>
          <w:szCs w:val="21"/>
        </w:rPr>
        <w:t>一</w:t>
      </w:r>
      <w:r>
        <w:rPr>
          <w:rFonts w:hint="eastAsia" w:asciiTheme="minorEastAsia" w:hAnsiTheme="minorEastAsia"/>
          <w:szCs w:val="21"/>
        </w:rPr>
        <w:t>、</w:t>
      </w:r>
      <w:r>
        <w:rPr>
          <w:rFonts w:asciiTheme="minorEastAsia" w:hAnsiTheme="minorEastAsia"/>
          <w:szCs w:val="21"/>
        </w:rPr>
        <w:t>产品简介</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6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产品名称</w:t>
            </w:r>
          </w:p>
        </w:tc>
        <w:tc>
          <w:tcPr>
            <w:tcW w:w="6033" w:type="dxa"/>
          </w:tcPr>
          <w:p>
            <w:pPr>
              <w:widowControl/>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渝农商理财江渝财富天添金兴时6个月定开3号理财产品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产品编号</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21GSGK31002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理财系统登记编码</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Z7002721000012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产品类型</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非保本浮动收益型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产品类别</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固定收益类公募产品</w:t>
            </w:r>
            <w:bookmarkStart w:id="1" w:name="_GoBack"/>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内部风险评级</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产品存续规模（元）</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465,358,191.25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业绩比较基准</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产品成立日</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2021年2月9日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产品到期日</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产品托管行</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招商银行股份有限公司重庆分行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产品托管账户</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123912301610255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投资合作机构</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中国国际金融股份有限公司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报告期</w:t>
            </w:r>
            <w:r>
              <w:rPr>
                <w:rFonts w:hint="eastAsia" w:ascii="宋体" w:hAnsi="宋体" w:eastAsia="宋体" w:cs="宋体"/>
                <w:color w:val="000000"/>
                <w:kern w:val="0"/>
                <w:sz w:val="18"/>
                <w:szCs w:val="18"/>
                <w:lang w:val="en-US" w:eastAsia="zh-CN" w:bidi="ar"/>
              </w:rPr>
              <w:t>末</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2021年9月30日</w:t>
            </w:r>
          </w:p>
        </w:tc>
      </w:tr>
    </w:tbl>
    <w:p>
      <w:pPr>
        <w:spacing w:line="360" w:lineRule="auto"/>
        <w:rPr>
          <w:rFonts w:asciiTheme="minorEastAsia" w:hAnsiTheme="minorEastAsia"/>
          <w:b/>
          <w:szCs w:val="21"/>
        </w:rPr>
      </w:pPr>
    </w:p>
    <w:p>
      <w:pPr>
        <w:spacing w:line="360" w:lineRule="auto"/>
        <w:rPr>
          <w:rFonts w:asciiTheme="minorEastAsia" w:hAnsiTheme="minorEastAsia"/>
          <w:szCs w:val="21"/>
        </w:rPr>
      </w:pPr>
      <w:r>
        <w:rPr>
          <w:rFonts w:hint="eastAsia" w:asciiTheme="minorEastAsia" w:hAnsiTheme="minorEastAsia"/>
          <w:szCs w:val="21"/>
        </w:rPr>
        <w:t>二、收益表现情况</w:t>
      </w:r>
    </w:p>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单位：人民币元</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5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期末资产净值</w:t>
            </w:r>
          </w:p>
        </w:tc>
        <w:tc>
          <w:tcPr>
            <w:tcW w:w="5466" w:type="dxa"/>
          </w:tcPr>
          <w:p>
            <w:pPr>
              <w:rPr>
                <w:rFonts w:hint="eastAsia" w:ascii="宋体" w:hAnsi="宋体" w:eastAsia="宋体"/>
                <w:sz w:val="18"/>
                <w:szCs w:val="18"/>
              </w:rPr>
            </w:pPr>
            <w:r>
              <w:rPr>
                <w:rFonts w:hint="eastAsia" w:ascii="宋体" w:hAnsi="宋体" w:eastAsia="宋体"/>
                <w:sz w:val="18"/>
                <w:szCs w:val="18"/>
              </w:rPr>
              <w:t>479,248,761.64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期末产品份额净值</w:t>
            </w:r>
          </w:p>
        </w:tc>
        <w:tc>
          <w:tcPr>
            <w:tcW w:w="5466" w:type="dxa"/>
          </w:tcPr>
          <w:p>
            <w:pPr>
              <w:rPr>
                <w:rFonts w:hint="eastAsia" w:ascii="宋体" w:hAnsi="宋体" w:eastAsia="宋体"/>
                <w:sz w:val="18"/>
                <w:szCs w:val="18"/>
              </w:rPr>
            </w:pPr>
            <w:r>
              <w:rPr>
                <w:rFonts w:hint="eastAsia" w:ascii="宋体" w:hAnsi="宋体" w:eastAsia="宋体"/>
                <w:sz w:val="18"/>
                <w:szCs w:val="18"/>
              </w:rPr>
              <w:t>1.0298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期末产品份额累计净值</w:t>
            </w:r>
          </w:p>
        </w:tc>
        <w:tc>
          <w:tcPr>
            <w:tcW w:w="5466" w:type="dxa"/>
          </w:tcPr>
          <w:p>
            <w:pPr>
              <w:rPr>
                <w:rFonts w:ascii="宋体" w:hAnsi="宋体" w:eastAsia="宋体"/>
                <w:sz w:val="18"/>
                <w:szCs w:val="18"/>
              </w:rPr>
            </w:pPr>
            <w:r>
              <w:rPr>
                <w:rFonts w:hint="eastAsia" w:ascii="宋体" w:hAnsi="宋体" w:eastAsia="宋体"/>
                <w:sz w:val="18"/>
                <w:szCs w:val="18"/>
              </w:rPr>
              <w:t>1.0298</w:t>
            </w:r>
          </w:p>
        </w:tc>
      </w:tr>
    </w:tbl>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三</w:t>
      </w:r>
      <w:r>
        <w:rPr>
          <w:rFonts w:asciiTheme="minorEastAsia" w:hAnsiTheme="minorEastAsia"/>
          <w:szCs w:val="21"/>
        </w:rPr>
        <w:t>、</w:t>
      </w:r>
      <w:r>
        <w:rPr>
          <w:rFonts w:hint="eastAsia" w:asciiTheme="minorEastAsia" w:hAnsiTheme="minorEastAsia"/>
          <w:szCs w:val="21"/>
        </w:rPr>
        <w:t>投资组合</w:t>
      </w:r>
      <w:r>
        <w:rPr>
          <w:rFonts w:asciiTheme="minorEastAsia" w:hAnsiTheme="minorEastAsia"/>
          <w:szCs w:val="21"/>
        </w:rPr>
        <w:t>情况</w:t>
      </w:r>
    </w:p>
    <w:p>
      <w:pPr>
        <w:rPr>
          <w:rFonts w:asciiTheme="minorEastAsia" w:hAnsiTheme="minorEastAsia"/>
          <w:szCs w:val="21"/>
        </w:rPr>
      </w:pPr>
      <w:r>
        <w:rPr>
          <w:rFonts w:hint="eastAsia" w:asciiTheme="minorEastAsia" w:hAnsiTheme="minorEastAsia"/>
          <w:szCs w:val="21"/>
        </w:rPr>
        <w:t>（一）期末投资组合</w:t>
      </w:r>
      <w:r>
        <w:rPr>
          <w:rFonts w:asciiTheme="minorEastAsia" w:hAnsiTheme="minorEastAsia"/>
          <w:szCs w:val="21"/>
        </w:rPr>
        <w:t>情况</w:t>
      </w:r>
    </w:p>
    <w:p>
      <w:pPr>
        <w:widowControl/>
        <w:jc w:val="center"/>
        <w:textAlignment w:val="top"/>
        <w:rPr>
          <w:rFonts w:asciiTheme="minorEastAsia" w:hAnsiTheme="minorEastAsia"/>
          <w:szCs w:val="21"/>
          <w:highlight w:val="yellow"/>
        </w:rPr>
      </w:pPr>
      <w:r>
        <w:rPr>
          <w:rFonts w:hint="eastAsia" w:ascii="宋体" w:hAnsi="宋体" w:eastAsia="宋体" w:cs="宋体"/>
          <w:color w:val="000000"/>
          <w:kern w:val="0"/>
          <w:sz w:val="18"/>
          <w:szCs w:val="18"/>
          <w:lang w:bidi="ar"/>
        </w:rPr>
        <w:t xml:space="preserve">                                                                            单位：人民币元</w:t>
      </w:r>
    </w:p>
    <w:tbl>
      <w:tblPr>
        <w:tblStyle w:val="19"/>
        <w:tblW w:w="4998" w:type="pct"/>
        <w:tblInd w:w="0" w:type="dxa"/>
        <w:tblLayout w:type="autofit"/>
        <w:tblCellMar>
          <w:top w:w="0" w:type="dxa"/>
          <w:left w:w="0" w:type="dxa"/>
          <w:bottom w:w="0" w:type="dxa"/>
          <w:right w:w="0" w:type="dxa"/>
        </w:tblCellMar>
      </w:tblPr>
      <w:tblGrid>
        <w:gridCol w:w="695"/>
        <w:gridCol w:w="2345"/>
        <w:gridCol w:w="1481"/>
        <w:gridCol w:w="1327"/>
        <w:gridCol w:w="1290"/>
        <w:gridCol w:w="1195"/>
      </w:tblGrid>
      <w:tr>
        <w:tblPrEx>
          <w:tblCellMar>
            <w:top w:w="0" w:type="dxa"/>
            <w:left w:w="0" w:type="dxa"/>
            <w:bottom w:w="0" w:type="dxa"/>
            <w:right w:w="0" w:type="dxa"/>
          </w:tblCellMar>
        </w:tblPrEx>
        <w:trPr>
          <w:trHeight w:val="312" w:hRule="atLeast"/>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序号 </w:t>
            </w:r>
          </w:p>
        </w:tc>
        <w:tc>
          <w:tcPr>
            <w:tcW w:w="2345" w:type="dxa"/>
            <w:vMerge w:val="restar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项目 </w:t>
            </w:r>
          </w:p>
        </w:tc>
        <w:tc>
          <w:tcPr>
            <w:tcW w:w="28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直接投资 </w:t>
            </w:r>
          </w:p>
        </w:tc>
        <w:tc>
          <w:tcPr>
            <w:tcW w:w="24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间接投资 </w:t>
            </w:r>
          </w:p>
        </w:tc>
      </w:tr>
      <w:tr>
        <w:tblPrEx>
          <w:tblCellMar>
            <w:top w:w="0" w:type="dxa"/>
            <w:left w:w="0" w:type="dxa"/>
            <w:bottom w:w="0" w:type="dxa"/>
            <w:right w:w="0" w:type="dxa"/>
          </w:tblCellMar>
        </w:tblPrEx>
        <w:trPr>
          <w:trHeight w:val="312"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234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28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c>
          <w:tcPr>
            <w:tcW w:w="24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r>
      <w:tr>
        <w:tblPrEx>
          <w:tblCellMar>
            <w:top w:w="0" w:type="dxa"/>
            <w:left w:w="0" w:type="dxa"/>
            <w:bottom w:w="0" w:type="dxa"/>
            <w:right w:w="0" w:type="dxa"/>
          </w:tblCellMar>
        </w:tblPrEx>
        <w:trPr>
          <w:trHeight w:val="626"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234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固定收益类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242,022,645.27</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50.42</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238,005,537.43</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49.58</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1.1</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其中：债券</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93,663,736.94</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19.51</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238,005,537.43</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49.58</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1.2</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一般债权</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120,651,666.67</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25.13</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1.3</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资产支持证券</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1.4</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现金及货币工具</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27,707,241.66</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5.7</w:t>
            </w:r>
            <w:r>
              <w:rPr>
                <w:rFonts w:hint="eastAsia" w:ascii="宋体" w:hAnsi="宋体" w:eastAsia="宋体" w:cs="宋体"/>
                <w:bCs/>
                <w:kern w:val="0"/>
                <w:sz w:val="18"/>
                <w:szCs w:val="18"/>
                <w:lang w:val="en-US" w:eastAsia="zh-CN" w:bidi="ar"/>
              </w:rPr>
              <w:t>8</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2</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权益类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3</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商品及金融衍生类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4</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混合类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5</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合计</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242,022,645.27</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50.42</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238,005,537.43</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49.58</w:t>
            </w:r>
          </w:p>
        </w:tc>
      </w:tr>
    </w:tbl>
    <w:p>
      <w:pPr>
        <w:rPr>
          <w:rFonts w:asciiTheme="minorEastAsia" w:hAnsiTheme="minorEastAsia"/>
          <w:szCs w:val="21"/>
          <w:highlight w:val="yellow"/>
        </w:rPr>
      </w:pPr>
    </w:p>
    <w:p>
      <w:pPr>
        <w:rPr>
          <w:rFonts w:asciiTheme="minorEastAsia" w:hAnsiTheme="minorEastAsia"/>
          <w:szCs w:val="21"/>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（二）期末投资组合杠杆情况</w:t>
      </w:r>
    </w:p>
    <w:p>
      <w:pPr>
        <w:rPr>
          <w:rFonts w:ascii="宋体" w:hAnsi="宋体" w:eastAsia="宋体" w:cs="宋体"/>
          <w:color w:val="000000"/>
        </w:rPr>
      </w:pPr>
      <w:r>
        <w:rPr>
          <w:rFonts w:ascii="宋体" w:hAnsi="宋体" w:eastAsia="宋体" w:cs="宋体"/>
          <w:color w:val="000000"/>
        </w:rPr>
        <w:t>报告期末本产品总资产未超过该产品净资产规模的140%，符合产品杠杆比例的要求。</w:t>
      </w:r>
    </w:p>
    <w:p>
      <w:pPr>
        <w:rPr>
          <w:rFonts w:ascii="宋体" w:hAnsi="宋体" w:eastAsia="宋体" w:cs="宋体"/>
          <w:color w:val="000000"/>
        </w:rPr>
      </w:pPr>
    </w:p>
    <w:p>
      <w:pPr>
        <w:rPr>
          <w:rFonts w:asciiTheme="minorEastAsia" w:hAnsiTheme="minorEastAsia"/>
          <w:szCs w:val="21"/>
        </w:rPr>
      </w:pPr>
      <w:r>
        <w:rPr>
          <w:rFonts w:hint="eastAsia" w:asciiTheme="minorEastAsia" w:hAnsiTheme="minorEastAsia"/>
          <w:szCs w:val="21"/>
        </w:rPr>
        <w:t>（三）期末投资组合持仓前十大资产情况</w:t>
      </w:r>
    </w:p>
    <w:tbl>
      <w:tblPr>
        <w:tblStyle w:val="20"/>
        <w:tblW w:w="82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186"/>
        <w:gridCol w:w="2781"/>
        <w:gridCol w:w="1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3186"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278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622"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中金锦嘉1号集合资产管理计划</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238,005,537.43</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49.58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w:t>
            </w:r>
          </w:p>
        </w:tc>
        <w:tc>
          <w:tcPr>
            <w:tcW w:w="3186" w:type="dxa"/>
            <w:vAlign w:val="center"/>
          </w:tcPr>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信达租赁</w:t>
            </w:r>
            <w:r>
              <w:rPr>
                <w:rFonts w:hint="eastAsia" w:ascii="宋体" w:hAnsi="宋体" w:eastAsia="宋体" w:cs="宋体"/>
                <w:color w:val="000000"/>
                <w:kern w:val="0"/>
                <w:sz w:val="18"/>
                <w:szCs w:val="18"/>
                <w:lang w:val="en-US" w:eastAsia="zh-CN" w:bidi="ar"/>
              </w:rPr>
              <w:t>同业借款</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120,651,666.67</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25.13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20绿投03</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47,152,873.04</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9.82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19肇庆02</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46,510,863.90</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9.69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5</w:t>
            </w:r>
          </w:p>
        </w:tc>
        <w:tc>
          <w:tcPr>
            <w:tcW w:w="3186" w:type="dxa"/>
            <w:vAlign w:val="center"/>
          </w:tcPr>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val="en-US" w:eastAsia="zh-CN" w:bidi="ar"/>
              </w:rPr>
              <w:t>银行存款</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27,707,241.66</w:t>
            </w:r>
          </w:p>
        </w:tc>
        <w:tc>
          <w:tcPr>
            <w:tcW w:w="1622" w:type="dxa"/>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5.7</w:t>
            </w:r>
            <w:r>
              <w:rPr>
                <w:rFonts w:hint="eastAsia" w:ascii="宋体" w:hAnsi="宋体" w:eastAsia="宋体" w:cs="宋体"/>
                <w:color w:val="000000"/>
                <w:kern w:val="0"/>
                <w:sz w:val="18"/>
                <w:szCs w:val="18"/>
                <w:lang w:val="en-US" w:eastAsia="zh-CN" w:bidi="ar"/>
              </w:rPr>
              <w:t>8</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b/>
          <w:szCs w:val="21"/>
        </w:rPr>
      </w:pPr>
    </w:p>
    <w:p>
      <w:pPr>
        <w:numPr>
          <w:ilvl w:val="0"/>
          <w:numId w:val="2"/>
        </w:numPr>
        <w:rPr>
          <w:rFonts w:asciiTheme="minorEastAsia" w:hAnsiTheme="minorEastAsia"/>
          <w:szCs w:val="21"/>
        </w:rPr>
      </w:pPr>
      <w:r>
        <w:rPr>
          <w:rFonts w:hint="eastAsia" w:asciiTheme="minorEastAsia" w:hAnsiTheme="minorEastAsia"/>
          <w:szCs w:val="21"/>
        </w:rPr>
        <w:t>非标准化债权类资产投资情况</w:t>
      </w:r>
    </w:p>
    <w:p>
      <w:pPr>
        <w:rPr>
          <w:rFonts w:asciiTheme="minorEastAsia" w:hAnsiTheme="minorEastAsia"/>
          <w:szCs w:val="21"/>
        </w:rPr>
      </w:pPr>
      <w:r>
        <w:rPr>
          <w:rFonts w:hint="eastAsia" w:asciiTheme="minorEastAsia" w:hAnsiTheme="minorEastAsia"/>
          <w:szCs w:val="21"/>
        </w:rPr>
        <w:t>期末理财产品持有非标准化债权类资产情况如下：</w:t>
      </w:r>
    </w:p>
    <w:tbl>
      <w:tblPr>
        <w:tblStyle w:val="19"/>
        <w:tblW w:w="827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9"/>
        <w:gridCol w:w="1980"/>
        <w:gridCol w:w="992"/>
        <w:gridCol w:w="992"/>
        <w:gridCol w:w="851"/>
        <w:gridCol w:w="813"/>
        <w:gridCol w:w="1160"/>
        <w:gridCol w:w="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709"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980"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融资客户</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项目名称</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剩余融资期限（天）</w:t>
            </w:r>
          </w:p>
        </w:tc>
        <w:tc>
          <w:tcPr>
            <w:tcW w:w="851"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年化收益率（%）</w:t>
            </w:r>
          </w:p>
        </w:tc>
        <w:tc>
          <w:tcPr>
            <w:tcW w:w="813"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到期收益分配</w:t>
            </w:r>
          </w:p>
        </w:tc>
        <w:tc>
          <w:tcPr>
            <w:tcW w:w="1160"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交易结构</w:t>
            </w:r>
          </w:p>
        </w:tc>
        <w:tc>
          <w:tcPr>
            <w:tcW w:w="776"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风险状况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709"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w:t>
            </w:r>
          </w:p>
        </w:tc>
        <w:tc>
          <w:tcPr>
            <w:tcW w:w="1980"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信达金融租赁有限公司</w:t>
            </w:r>
          </w:p>
        </w:tc>
        <w:tc>
          <w:tcPr>
            <w:tcW w:w="992"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信达租赁</w:t>
            </w:r>
            <w:r>
              <w:rPr>
                <w:rFonts w:hint="eastAsia" w:ascii="宋体" w:hAnsi="宋体" w:eastAsia="宋体" w:cs="宋体"/>
                <w:color w:val="000000"/>
                <w:kern w:val="0"/>
                <w:sz w:val="18"/>
                <w:szCs w:val="18"/>
                <w:lang w:val="en-US" w:eastAsia="zh-CN" w:bidi="ar"/>
              </w:rPr>
              <w:t>同业借款</w:t>
            </w:r>
          </w:p>
        </w:tc>
        <w:tc>
          <w:tcPr>
            <w:tcW w:w="992"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117</w:t>
            </w:r>
          </w:p>
        </w:tc>
        <w:tc>
          <w:tcPr>
            <w:tcW w:w="851"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4.25</w:t>
            </w:r>
          </w:p>
        </w:tc>
        <w:tc>
          <w:tcPr>
            <w:tcW w:w="813"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利随本清</w:t>
            </w:r>
          </w:p>
        </w:tc>
        <w:tc>
          <w:tcPr>
            <w:tcW w:w="1160"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val="en-US" w:eastAsia="zh-CN" w:bidi="ar"/>
              </w:rPr>
              <w:t>同业借款</w:t>
            </w:r>
          </w:p>
        </w:tc>
        <w:tc>
          <w:tcPr>
            <w:tcW w:w="776" w:type="dxa"/>
            <w:vAlign w:val="center"/>
          </w:tcPr>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val="en-US" w:eastAsia="zh-CN" w:bidi="ar"/>
              </w:rPr>
              <w:t>无异常</w:t>
            </w:r>
          </w:p>
        </w:tc>
      </w:tr>
    </w:tbl>
    <w:p>
      <w:pPr>
        <w:widowControl/>
        <w:jc w:val="center"/>
        <w:textAlignment w:val="top"/>
        <w:rPr>
          <w:rFonts w:ascii="宋体" w:hAnsi="宋体" w:eastAsia="宋体" w:cs="宋体"/>
          <w:color w:val="000000"/>
          <w:kern w:val="0"/>
          <w:sz w:val="18"/>
          <w:szCs w:val="18"/>
          <w:lang w:bidi="ar"/>
        </w:rPr>
      </w:pPr>
    </w:p>
    <w:p>
      <w:pPr>
        <w:numPr>
          <w:ilvl w:val="0"/>
          <w:numId w:val="2"/>
        </w:numPr>
        <w:rPr>
          <w:rFonts w:asciiTheme="minorEastAsia" w:hAnsiTheme="minorEastAsia"/>
          <w:szCs w:val="21"/>
        </w:rPr>
      </w:pPr>
      <w:r>
        <w:rPr>
          <w:rFonts w:hint="eastAsia" w:asciiTheme="minorEastAsia" w:hAnsiTheme="minorEastAsia"/>
          <w:szCs w:val="21"/>
        </w:rPr>
        <w:t>关联交易情况</w:t>
      </w:r>
    </w:p>
    <w:p>
      <w:pPr>
        <w:rPr>
          <w:rFonts w:asciiTheme="minorEastAsia" w:hAnsiTheme="minorEastAsia"/>
          <w:szCs w:val="21"/>
        </w:rPr>
      </w:pPr>
      <w:r>
        <w:rPr>
          <w:rFonts w:hint="eastAsia" w:asciiTheme="minorEastAsia" w:hAnsiTheme="minorEastAsia"/>
          <w:szCs w:val="21"/>
        </w:rPr>
        <w:t>期末理财产品持有的关联方交易明细如下：</w:t>
      </w:r>
    </w:p>
    <w:tbl>
      <w:tblPr>
        <w:tblStyle w:val="19"/>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423"/>
        <w:gridCol w:w="1275"/>
        <w:gridCol w:w="1245"/>
        <w:gridCol w:w="1154"/>
        <w:gridCol w:w="1052"/>
        <w:gridCol w:w="1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42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27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资产类别</w:t>
            </w:r>
          </w:p>
        </w:tc>
        <w:tc>
          <w:tcPr>
            <w:tcW w:w="124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资产代码</w:t>
            </w:r>
          </w:p>
        </w:tc>
        <w:tc>
          <w:tcPr>
            <w:tcW w:w="115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交易数量（张）</w:t>
            </w:r>
          </w:p>
        </w:tc>
        <w:tc>
          <w:tcPr>
            <w:tcW w:w="1052"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369"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关联方名称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tcPr>
          <w:p>
            <w:pPr>
              <w:jc w:val="center"/>
              <w:rPr>
                <w:rFonts w:hint="default" w:eastAsiaTheme="minorEastAsia"/>
                <w:lang w:val="en-US" w:eastAsia="zh-CN"/>
              </w:rPr>
            </w:pPr>
            <w:r>
              <w:t>/</w:t>
            </w:r>
          </w:p>
        </w:tc>
        <w:tc>
          <w:tcPr>
            <w:tcW w:w="1423" w:type="dxa"/>
          </w:tcPr>
          <w:p>
            <w:pPr>
              <w:jc w:val="center"/>
            </w:pPr>
            <w:r>
              <w:t>/</w:t>
            </w:r>
          </w:p>
        </w:tc>
        <w:tc>
          <w:tcPr>
            <w:tcW w:w="1275" w:type="dxa"/>
          </w:tcPr>
          <w:p>
            <w:pPr>
              <w:jc w:val="center"/>
            </w:pPr>
            <w:r>
              <w:t>/</w:t>
            </w:r>
          </w:p>
        </w:tc>
        <w:tc>
          <w:tcPr>
            <w:tcW w:w="1245" w:type="dxa"/>
          </w:tcPr>
          <w:p>
            <w:pPr>
              <w:jc w:val="center"/>
            </w:pPr>
            <w:r>
              <w:t>/</w:t>
            </w:r>
          </w:p>
        </w:tc>
        <w:tc>
          <w:tcPr>
            <w:tcW w:w="1154" w:type="dxa"/>
          </w:tcPr>
          <w:p>
            <w:pPr>
              <w:jc w:val="center"/>
            </w:pPr>
            <w:r>
              <w:t>/</w:t>
            </w:r>
          </w:p>
        </w:tc>
        <w:tc>
          <w:tcPr>
            <w:tcW w:w="1052" w:type="dxa"/>
          </w:tcPr>
          <w:p>
            <w:pPr>
              <w:jc w:val="center"/>
            </w:pPr>
            <w:r>
              <w:t>/</w:t>
            </w:r>
          </w:p>
        </w:tc>
        <w:tc>
          <w:tcPr>
            <w:tcW w:w="1369" w:type="dxa"/>
          </w:tcPr>
          <w:p>
            <w:pPr>
              <w:jc w:val="center"/>
            </w:pPr>
            <w:r>
              <w:t>/</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numPr>
          <w:ilvl w:val="0"/>
          <w:numId w:val="2"/>
        </w:numPr>
        <w:rPr>
          <w:rFonts w:asciiTheme="minorEastAsia" w:hAnsiTheme="minorEastAsia"/>
          <w:szCs w:val="21"/>
        </w:rPr>
      </w:pPr>
      <w:r>
        <w:rPr>
          <w:rFonts w:asciiTheme="minorEastAsia" w:hAnsiTheme="minorEastAsia"/>
          <w:szCs w:val="21"/>
        </w:rPr>
        <w:t>信贷资产受(收)益权情况</w:t>
      </w:r>
    </w:p>
    <w:p>
      <w:pPr>
        <w:rPr>
          <w:rFonts w:asciiTheme="minorEastAsia" w:hAnsiTheme="minorEastAsia"/>
          <w:szCs w:val="21"/>
        </w:rPr>
      </w:pPr>
      <w:r>
        <w:rPr>
          <w:rFonts w:hint="eastAsia" w:asciiTheme="minorEastAsia" w:hAnsiTheme="minorEastAsia"/>
          <w:szCs w:val="21"/>
        </w:rPr>
        <w:t>期末理财产品持有的</w:t>
      </w:r>
      <w:r>
        <w:rPr>
          <w:rFonts w:asciiTheme="minorEastAsia" w:hAnsiTheme="minorEastAsia"/>
          <w:szCs w:val="21"/>
        </w:rPr>
        <w:t>信贷资产受(收)益权</w:t>
      </w:r>
      <w:r>
        <w:rPr>
          <w:rFonts w:hint="eastAsia" w:asciiTheme="minorEastAsia" w:hAnsiTheme="minorEastAsia"/>
          <w:szCs w:val="21"/>
        </w:rPr>
        <w:t xml:space="preserve">资产如下：  </w:t>
      </w:r>
    </w:p>
    <w:tbl>
      <w:tblPr>
        <w:tblStyle w:val="19"/>
        <w:tblW w:w="82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285"/>
        <w:gridCol w:w="1843"/>
        <w:gridCol w:w="1276"/>
        <w:gridCol w:w="1559"/>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28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84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原始权益人名称</w:t>
            </w:r>
          </w:p>
        </w:tc>
        <w:tc>
          <w:tcPr>
            <w:tcW w:w="127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交易日</w:t>
            </w:r>
          </w:p>
        </w:tc>
        <w:tc>
          <w:tcPr>
            <w:tcW w:w="1559"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项目剩余融资期限 （天）</w:t>
            </w:r>
          </w:p>
        </w:tc>
        <w:tc>
          <w:tcPr>
            <w:tcW w:w="1560"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tcPr>
          <w:p>
            <w:pPr>
              <w:jc w:val="center"/>
              <w:rPr>
                <w:rFonts w:hint="default" w:eastAsiaTheme="minorEastAsia"/>
                <w:lang w:val="en-US" w:eastAsia="zh-CN"/>
              </w:rPr>
            </w:pPr>
            <w:r>
              <w:t>/</w:t>
            </w:r>
          </w:p>
        </w:tc>
        <w:tc>
          <w:tcPr>
            <w:tcW w:w="1285" w:type="dxa"/>
          </w:tcPr>
          <w:p>
            <w:pPr>
              <w:jc w:val="center"/>
            </w:pPr>
            <w:r>
              <w:t>/</w:t>
            </w:r>
          </w:p>
        </w:tc>
        <w:tc>
          <w:tcPr>
            <w:tcW w:w="1843" w:type="dxa"/>
          </w:tcPr>
          <w:p>
            <w:pPr>
              <w:jc w:val="center"/>
            </w:pPr>
            <w:r>
              <w:t>/</w:t>
            </w:r>
          </w:p>
        </w:tc>
        <w:tc>
          <w:tcPr>
            <w:tcW w:w="1276" w:type="dxa"/>
          </w:tcPr>
          <w:p>
            <w:pPr>
              <w:jc w:val="center"/>
            </w:pPr>
            <w:r>
              <w:t>/</w:t>
            </w:r>
          </w:p>
        </w:tc>
        <w:tc>
          <w:tcPr>
            <w:tcW w:w="1559" w:type="dxa"/>
          </w:tcPr>
          <w:p>
            <w:pPr>
              <w:jc w:val="center"/>
            </w:pPr>
            <w:r>
              <w:t>/</w:t>
            </w:r>
          </w:p>
        </w:tc>
        <w:tc>
          <w:tcPr>
            <w:tcW w:w="1560" w:type="dxa"/>
          </w:tcPr>
          <w:p>
            <w:pPr>
              <w:jc w:val="center"/>
            </w:pPr>
            <w:r>
              <w:t>/</w:t>
            </w:r>
          </w:p>
        </w:tc>
      </w:tr>
    </w:tbl>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七</w:t>
      </w:r>
      <w:r>
        <w:rPr>
          <w:rFonts w:asciiTheme="minorEastAsia" w:hAnsiTheme="minorEastAsia"/>
          <w:szCs w:val="21"/>
        </w:rPr>
        <w:t>、</w:t>
      </w:r>
      <w:r>
        <w:rPr>
          <w:rFonts w:hint="eastAsia" w:asciiTheme="minorEastAsia" w:hAnsiTheme="minorEastAsia"/>
          <w:szCs w:val="21"/>
        </w:rPr>
        <w:t>金融工具风险及管理</w:t>
      </w:r>
    </w:p>
    <w:p>
      <w:pPr>
        <w:ind w:firstLine="420" w:firstLineChars="200"/>
        <w:rPr>
          <w:rFonts w:asciiTheme="minorEastAsia" w:hAnsiTheme="minorEastAsia"/>
        </w:rPr>
      </w:pPr>
      <w:r>
        <w:rPr>
          <w:rFonts w:hint="eastAsia" w:asciiTheme="minorEastAsia" w:hAnsiTheme="minorEastAsia"/>
        </w:rPr>
        <w:t>本期产品在日常经营活动中涉及风险主要包括信用风险、流动性风险及市场风险。我</w:t>
      </w:r>
      <w:r>
        <w:rPr>
          <w:rFonts w:hint="eastAsia" w:asciiTheme="minorEastAsia" w:hAnsiTheme="minorEastAsia"/>
          <w:lang w:val="en-US" w:eastAsia="zh-CN"/>
        </w:rPr>
        <w:t>司</w:t>
      </w:r>
      <w:r>
        <w:rPr>
          <w:rFonts w:hint="eastAsia" w:asciiTheme="minorEastAsia" w:hAnsiTheme="minorEastAsia"/>
        </w:rPr>
        <w:t>通过相关程序和规章制度对上述风险进行严格控制。</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 xml:space="preserve"> （一） 信用风险</w:t>
      </w:r>
    </w:p>
    <w:p>
      <w:pPr>
        <w:ind w:firstLine="420" w:firstLineChars="200"/>
        <w:rPr>
          <w:rFonts w:asciiTheme="minorEastAsia" w:hAnsiTheme="minorEastAsia"/>
        </w:rPr>
      </w:pPr>
      <w:r>
        <w:rPr>
          <w:rFonts w:hint="eastAsia" w:asciiTheme="minorEastAsia" w:hAnsiTheme="minorEastAsia"/>
        </w:rPr>
        <w:t>信用风险是指产品在交易过程中因交易对手未履行合约责任，或者产品所投资证券发行人出现违约、拒绝支付到期本息，导致产品资产损失和收益变化的风险。本产品投资于具有较高主体评级、履约能力较强的高信用债券及较高信用评级交易对手发行的同业往来资产，保持对资产持有期间债券发行人和交易对手的经营状况及与其偿付能力相关舆情的密切关注，严控信用风险。</w:t>
      </w:r>
    </w:p>
    <w:p>
      <w:pPr>
        <w:ind w:firstLine="420" w:firstLineChars="200"/>
        <w:rPr>
          <w:rFonts w:asciiTheme="minorEastAsia" w:hAnsiTheme="minorEastAsia"/>
        </w:rPr>
      </w:pPr>
      <w:r>
        <w:rPr>
          <w:rFonts w:hint="eastAsia" w:asciiTheme="minorEastAsia" w:hAnsiTheme="minorEastAsia"/>
        </w:rPr>
        <w:t>（二） 流动性风险</w:t>
      </w:r>
    </w:p>
    <w:p>
      <w:pPr>
        <w:ind w:firstLine="420" w:firstLineChars="200"/>
        <w:rPr>
          <w:rFonts w:asciiTheme="minorEastAsia" w:hAnsiTheme="minorEastAsia"/>
        </w:rPr>
      </w:pPr>
      <w:r>
        <w:rPr>
          <w:rFonts w:hint="eastAsia" w:asciiTheme="minorEastAsia" w:hAnsiTheme="minorEastAsia"/>
        </w:rPr>
        <w:t>流动性风险是指产品所持金融工具变现的难易程度。本产品以流动性较强的投资品种为核心，投资范围包括但不限于银行存款、同业存单、银行间债券市场和证券交易所发行的债券、质押式回购等；同时，持续监测、分析流动性指标，定期预测产品流动性需求，严格按照相关制度办法进行流动性风险管理。</w:t>
      </w:r>
    </w:p>
    <w:p>
      <w:pPr>
        <w:ind w:firstLine="420" w:firstLineChars="200"/>
        <w:rPr>
          <w:rFonts w:hint="eastAsia" w:asciiTheme="minorEastAsia" w:hAnsiTheme="minorEastAsia"/>
        </w:rPr>
      </w:pPr>
      <w:r>
        <w:rPr>
          <w:rFonts w:hint="eastAsia" w:asciiTheme="minorEastAsia" w:hAnsiTheme="minorEastAsia"/>
          <w:lang w:eastAsia="zh-CN"/>
        </w:rPr>
        <w:t>（</w:t>
      </w:r>
      <w:r>
        <w:rPr>
          <w:rFonts w:hint="eastAsia" w:asciiTheme="minorEastAsia" w:hAnsiTheme="minorEastAsia"/>
          <w:lang w:val="en-US" w:eastAsia="zh-CN"/>
        </w:rPr>
        <w:t>三</w:t>
      </w:r>
      <w:r>
        <w:rPr>
          <w:rFonts w:hint="eastAsia" w:asciiTheme="minorEastAsia" w:hAnsiTheme="minorEastAsia"/>
          <w:lang w:eastAsia="zh-CN"/>
        </w:rPr>
        <w:t>）</w:t>
      </w:r>
      <w:r>
        <w:rPr>
          <w:rFonts w:hint="eastAsia" w:asciiTheme="minorEastAsia" w:hAnsiTheme="minorEastAsia"/>
        </w:rPr>
        <w:t>市场风险</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市场风险是指产品所持金融工具的公允价值或未来现金流量因所处市场各类价格因素的变动而发生波动的风险。本产品主要投资于收益及期限相适宜的固定收益类资产，通过对国内外宏观经济形势、市场利率走势的研判，结合逐日盯市等，严控市场风险。</w:t>
      </w:r>
    </w:p>
    <w:p>
      <w:pPr>
        <w:rPr>
          <w:rFonts w:hint="eastAsia" w:asciiTheme="minorEastAsia" w:hAnsiTheme="minorEastAsia"/>
          <w:szCs w:val="21"/>
        </w:rPr>
      </w:pPr>
    </w:p>
    <w:p>
      <w:pPr>
        <w:rPr>
          <w:rFonts w:asciiTheme="minorEastAsia" w:hAnsiTheme="minorEastAsia"/>
          <w:szCs w:val="21"/>
        </w:rPr>
      </w:pPr>
      <w:r>
        <w:rPr>
          <w:rFonts w:hint="eastAsia" w:asciiTheme="minorEastAsia" w:hAnsiTheme="minorEastAsia"/>
          <w:szCs w:val="21"/>
        </w:rPr>
        <w:t>八</w:t>
      </w:r>
      <w:r>
        <w:rPr>
          <w:rFonts w:asciiTheme="minorEastAsia" w:hAnsiTheme="minorEastAsia"/>
          <w:szCs w:val="21"/>
        </w:rPr>
        <w:t>、</w:t>
      </w:r>
      <w:r>
        <w:rPr>
          <w:rFonts w:hint="eastAsia" w:asciiTheme="minorEastAsia" w:hAnsiTheme="minorEastAsia"/>
          <w:szCs w:val="21"/>
        </w:rPr>
        <w:t>产品</w:t>
      </w:r>
      <w:r>
        <w:rPr>
          <w:rFonts w:asciiTheme="minorEastAsia" w:hAnsiTheme="minorEastAsia"/>
          <w:szCs w:val="21"/>
        </w:rPr>
        <w:t>整体运作情况</w:t>
      </w:r>
    </w:p>
    <w:p>
      <w:pPr>
        <w:ind w:firstLine="420" w:firstLineChars="200"/>
        <w:rPr>
          <w:rFonts w:ascii="微软雅黑" w:hAnsi="微软雅黑" w:eastAsia="微软雅黑" w:cs="宋体"/>
          <w:kern w:val="0"/>
          <w:sz w:val="20"/>
          <w:szCs w:val="20"/>
        </w:rPr>
      </w:pPr>
      <w:r>
        <w:rPr>
          <w:rFonts w:hint="eastAsia" w:asciiTheme="minorEastAsia" w:hAnsiTheme="minorEastAsia"/>
          <w:szCs w:val="21"/>
        </w:rPr>
        <w:t>（一）自本产品成立起至本报告日，产品管理人恪尽职守、勤勉尽责、谨慎管理，忠实履行有关法律、行政法规和相关文件的规定。</w:t>
      </w:r>
      <w:r>
        <w:rPr>
          <w:rFonts w:hint="eastAsia" w:asciiTheme="minorEastAsia" w:hAnsiTheme="minorEastAsia"/>
          <w:szCs w:val="21"/>
        </w:rPr>
        <w:br w:type="textWrapping"/>
      </w:r>
      <w:r>
        <w:rPr>
          <w:rFonts w:hint="eastAsia" w:asciiTheme="minorEastAsia" w:hAnsiTheme="minorEastAsia"/>
          <w:szCs w:val="21"/>
        </w:rPr>
        <w:t xml:space="preserve">    （二）截至本报告日，所有投资资产正常运营，未发现有异常情况或者不利情况。</w:t>
      </w:r>
      <w:r>
        <w:rPr>
          <w:rFonts w:hint="eastAsia" w:asciiTheme="minorEastAsia" w:hAnsiTheme="minorEastAsia"/>
          <w:szCs w:val="21"/>
        </w:rPr>
        <w:br w:type="textWrapping"/>
      </w:r>
      <w:r>
        <w:rPr>
          <w:rFonts w:hint="eastAsia" w:asciiTheme="minorEastAsia" w:hAnsiTheme="minorEastAsia"/>
          <w:szCs w:val="21"/>
        </w:rPr>
        <w:t xml:space="preserve">    （三）本产品自成立至本报告日，没有发生涉诉等损害投资者利益的情形。</w:t>
      </w:r>
    </w:p>
    <w:p>
      <w:pPr>
        <w:ind w:firstLine="420"/>
        <w:rPr>
          <w:rFonts w:hint="eastAsia" w:asciiTheme="minorEastAsia" w:hAnsiTheme="minorEastAsia"/>
          <w:szCs w:val="21"/>
          <w:lang w:val="en-US" w:eastAsia="zh-CN"/>
        </w:rPr>
      </w:pPr>
    </w:p>
    <w:bookmarkEnd w:id="0"/>
    <w:p>
      <w:pPr>
        <w:rPr>
          <w:rFonts w:asciiTheme="minorEastAsia" w:hAnsiTheme="minorEastAsia"/>
          <w:szCs w:val="21"/>
        </w:rPr>
      </w:pPr>
      <w:r>
        <w:rPr>
          <w:rFonts w:hint="eastAsia" w:asciiTheme="minorEastAsia" w:hAnsiTheme="minorEastAsia"/>
          <w:szCs w:val="21"/>
        </w:rPr>
        <w:t>九</w:t>
      </w:r>
      <w:r>
        <w:rPr>
          <w:rFonts w:asciiTheme="minorEastAsia" w:hAnsiTheme="minorEastAsia"/>
          <w:szCs w:val="21"/>
        </w:rPr>
        <w:t>、</w:t>
      </w:r>
      <w:r>
        <w:rPr>
          <w:rFonts w:hint="eastAsia" w:asciiTheme="minorEastAsia" w:hAnsiTheme="minorEastAsia"/>
          <w:szCs w:val="21"/>
        </w:rPr>
        <w:t>托管人报告</w:t>
      </w:r>
    </w:p>
    <w:p>
      <w:pPr>
        <w:ind w:firstLine="420"/>
        <w:rPr>
          <w:rFonts w:hint="eastAsia" w:cs="宋体" w:asciiTheme="minorEastAsia" w:hAnsiTheme="minorEastAsia"/>
          <w:kern w:val="0"/>
        </w:rPr>
      </w:pPr>
      <w:r>
        <w:rPr>
          <w:rFonts w:hint="eastAsia" w:asciiTheme="minorEastAsia" w:hAnsiTheme="minorEastAsia"/>
          <w:szCs w:val="21"/>
        </w:rPr>
        <w:t>本产品托管人为</w:t>
      </w:r>
      <w:r>
        <w:rPr>
          <w:rFonts w:hint="eastAsia" w:cs="宋体" w:asciiTheme="minorEastAsia" w:hAnsiTheme="minorEastAsia"/>
          <w:kern w:val="0"/>
        </w:rPr>
        <w:t>招商银行股份有限公司。</w:t>
      </w:r>
    </w:p>
    <w:p>
      <w:pPr>
        <w:ind w:firstLine="420"/>
        <w:rPr>
          <w:rFonts w:hint="eastAsia" w:cs="宋体" w:asciiTheme="minorEastAsia" w:hAnsiTheme="minorEastAsia"/>
          <w:kern w:val="0"/>
          <w:lang w:val="en-US" w:eastAsia="zh-CN"/>
        </w:rPr>
      </w:pPr>
      <w:r>
        <w:rPr>
          <w:rFonts w:hint="eastAsia" w:cs="宋体" w:asciiTheme="minorEastAsia" w:hAnsiTheme="minorEastAsia"/>
          <w:kern w:val="0"/>
          <w:lang w:val="en-US" w:eastAsia="zh-CN"/>
        </w:rPr>
        <w:t>托管人声明：报告期内，资产托管人严格遵守有关法律法规、托管协议关于托管人职责的约定，尽职尽责地履行了托管职责并安全保管托管资产。</w:t>
      </w:r>
    </w:p>
    <w:p>
      <w:pPr>
        <w:ind w:firstLine="420"/>
        <w:rPr>
          <w:rFonts w:hint="default" w:cs="宋体" w:asciiTheme="minorEastAsia" w:hAnsiTheme="minorEastAsia"/>
          <w:kern w:val="0"/>
          <w:lang w:val="en-US" w:eastAsia="zh-CN"/>
        </w:rPr>
      </w:pPr>
      <w:r>
        <w:rPr>
          <w:rFonts w:hint="eastAsia" w:cs="宋体" w:asciiTheme="minorEastAsia" w:hAnsiTheme="minorEastAsia"/>
          <w:kern w:val="0"/>
          <w:lang w:val="en-US" w:eastAsia="zh-CN"/>
        </w:rPr>
        <w:t>在管理人提供的各项数据和信息真实、准确、有效的前提下，在托管人能够知悉和掌握的情况范围内，托管人对渝农商理财江渝财富天添金兴时6个月定开3号理财产品2021年第3季度报告中的截止报告期末财务数据进行了复核。</w:t>
      </w:r>
    </w:p>
    <w:p>
      <w:pPr>
        <w:spacing w:line="480" w:lineRule="exact"/>
        <w:rPr>
          <w:rFonts w:asciiTheme="minorEastAsia" w:hAnsiTheme="minorEastAsia"/>
          <w:szCs w:val="21"/>
        </w:rPr>
      </w:pPr>
    </w:p>
    <w:p>
      <w:pPr>
        <w:spacing w:line="480" w:lineRule="exact"/>
        <w:ind w:firstLine="315" w:firstLineChars="150"/>
        <w:jc w:val="right"/>
        <w:rPr>
          <w:rFonts w:asciiTheme="minorEastAsia" w:hAnsiTheme="minorEastAsia"/>
          <w:szCs w:val="21"/>
        </w:rPr>
      </w:pPr>
      <w:r>
        <w:rPr>
          <w:rFonts w:hint="eastAsia" w:asciiTheme="minorEastAsia" w:hAnsiTheme="minorEastAsia"/>
          <w:szCs w:val="21"/>
        </w:rPr>
        <w:t>渝农商理财有限责任公司</w:t>
      </w:r>
    </w:p>
    <w:p>
      <w:pPr>
        <w:spacing w:line="480" w:lineRule="exact"/>
        <w:ind w:right="420" w:firstLine="315" w:firstLineChars="150"/>
        <w:jc w:val="right"/>
        <w:rPr>
          <w:rFonts w:asciiTheme="minorEastAsia" w:hAnsiTheme="minorEastAsia"/>
          <w:szCs w:val="21"/>
        </w:rPr>
      </w:pPr>
      <w:r>
        <w:rPr>
          <w:rFonts w:hint="eastAsia" w:asciiTheme="minorEastAsia" w:hAnsiTheme="minorEastAsia"/>
          <w:szCs w:val="21"/>
        </w:rPr>
        <w:t>2021年10月</w:t>
      </w:r>
      <w:r>
        <w:rPr>
          <w:rFonts w:hint="eastAsia" w:asciiTheme="minorEastAsia" w:hAnsiTheme="minorEastAsia"/>
          <w:szCs w:val="21"/>
          <w:lang w:val="en-US" w:eastAsia="zh-CN"/>
        </w:rPr>
        <w:t>26</w:t>
      </w:r>
      <w:r>
        <w:rPr>
          <w:rFonts w:hint="eastAsia" w:asciiTheme="minorEastAsia" w:hAnsiTheme="minorEastAsia"/>
          <w:szCs w:val="21"/>
        </w:rPr>
        <w:t>日</w:t>
      </w:r>
    </w:p>
    <w:p/>
    <w:p/>
    <w:p/>
    <w:sectPr>
      <w:headerReference r:id="rId3" w:type="default"/>
      <w:pgSz w:w="11906" w:h="16838"/>
      <w:pgMar w:top="1440" w:right="1800" w:bottom="1440" w:left="1800" w:header="851" w:footer="992" w:gutter="0"/>
      <w:pgNumType w:fmt="decimal"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BA15C9"/>
    <w:multiLevelType w:val="singleLevel"/>
    <w:tmpl w:val="FCBA15C9"/>
    <w:lvl w:ilvl="0" w:tentative="0">
      <w:start w:val="4"/>
      <w:numFmt w:val="chineseCounting"/>
      <w:suff w:val="nothing"/>
      <w:lvlText w:val="%1、"/>
      <w:lvlJc w:val="left"/>
      <w:rPr>
        <w:rFonts w:hint="eastAsia"/>
      </w:rPr>
    </w:lvl>
  </w:abstractNum>
  <w:abstractNum w:abstractNumId="1">
    <w:nsid w:val="50DF2F09"/>
    <w:multiLevelType w:val="multilevel"/>
    <w:tmpl w:val="50DF2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AB8"/>
    <w:rsid w:val="00002C7B"/>
    <w:rsid w:val="00006F88"/>
    <w:rsid w:val="0001304C"/>
    <w:rsid w:val="000144A1"/>
    <w:rsid w:val="000144D4"/>
    <w:rsid w:val="00023DD1"/>
    <w:rsid w:val="00024451"/>
    <w:rsid w:val="00026B24"/>
    <w:rsid w:val="00040B27"/>
    <w:rsid w:val="00042EBD"/>
    <w:rsid w:val="00051E5A"/>
    <w:rsid w:val="00053B11"/>
    <w:rsid w:val="000603B1"/>
    <w:rsid w:val="00062848"/>
    <w:rsid w:val="0006776D"/>
    <w:rsid w:val="0007621D"/>
    <w:rsid w:val="00083209"/>
    <w:rsid w:val="00084157"/>
    <w:rsid w:val="00093987"/>
    <w:rsid w:val="000945D8"/>
    <w:rsid w:val="00095844"/>
    <w:rsid w:val="00096B5E"/>
    <w:rsid w:val="000A0FC0"/>
    <w:rsid w:val="000A51BE"/>
    <w:rsid w:val="000A7991"/>
    <w:rsid w:val="000B10D1"/>
    <w:rsid w:val="000C0B77"/>
    <w:rsid w:val="000C17B4"/>
    <w:rsid w:val="000C1851"/>
    <w:rsid w:val="000C3802"/>
    <w:rsid w:val="000C596B"/>
    <w:rsid w:val="000E0674"/>
    <w:rsid w:val="000E14DC"/>
    <w:rsid w:val="000E2F21"/>
    <w:rsid w:val="000E543D"/>
    <w:rsid w:val="000E7ACF"/>
    <w:rsid w:val="000F03F3"/>
    <w:rsid w:val="000F4806"/>
    <w:rsid w:val="00103BAE"/>
    <w:rsid w:val="00103FF4"/>
    <w:rsid w:val="00106105"/>
    <w:rsid w:val="0010706F"/>
    <w:rsid w:val="001113EA"/>
    <w:rsid w:val="00116036"/>
    <w:rsid w:val="0012361E"/>
    <w:rsid w:val="00126100"/>
    <w:rsid w:val="00126F10"/>
    <w:rsid w:val="0012724E"/>
    <w:rsid w:val="00127F83"/>
    <w:rsid w:val="001328D2"/>
    <w:rsid w:val="00133C93"/>
    <w:rsid w:val="00136C46"/>
    <w:rsid w:val="00141150"/>
    <w:rsid w:val="00142FF5"/>
    <w:rsid w:val="001466CA"/>
    <w:rsid w:val="00152864"/>
    <w:rsid w:val="00152DBA"/>
    <w:rsid w:val="00157DFE"/>
    <w:rsid w:val="00162D23"/>
    <w:rsid w:val="00165F69"/>
    <w:rsid w:val="001717C2"/>
    <w:rsid w:val="00175C7E"/>
    <w:rsid w:val="00180D75"/>
    <w:rsid w:val="001848BC"/>
    <w:rsid w:val="00186BC3"/>
    <w:rsid w:val="00186C22"/>
    <w:rsid w:val="00186F92"/>
    <w:rsid w:val="0019521E"/>
    <w:rsid w:val="00197B55"/>
    <w:rsid w:val="001A1E5F"/>
    <w:rsid w:val="001A5CE5"/>
    <w:rsid w:val="001B2366"/>
    <w:rsid w:val="001B4459"/>
    <w:rsid w:val="001B7248"/>
    <w:rsid w:val="001B7821"/>
    <w:rsid w:val="001D5FBB"/>
    <w:rsid w:val="001E1FD2"/>
    <w:rsid w:val="001F0F15"/>
    <w:rsid w:val="001F292F"/>
    <w:rsid w:val="001F29AC"/>
    <w:rsid w:val="001F31BD"/>
    <w:rsid w:val="001F7396"/>
    <w:rsid w:val="002007BD"/>
    <w:rsid w:val="00206886"/>
    <w:rsid w:val="002104D6"/>
    <w:rsid w:val="00211BAB"/>
    <w:rsid w:val="0021254D"/>
    <w:rsid w:val="0021436F"/>
    <w:rsid w:val="00216B4B"/>
    <w:rsid w:val="002200D8"/>
    <w:rsid w:val="002203BD"/>
    <w:rsid w:val="002219FA"/>
    <w:rsid w:val="00222087"/>
    <w:rsid w:val="00225427"/>
    <w:rsid w:val="002303ED"/>
    <w:rsid w:val="00231B71"/>
    <w:rsid w:val="00240E45"/>
    <w:rsid w:val="00250E8A"/>
    <w:rsid w:val="002518F4"/>
    <w:rsid w:val="00256C74"/>
    <w:rsid w:val="002668B5"/>
    <w:rsid w:val="00270014"/>
    <w:rsid w:val="00271536"/>
    <w:rsid w:val="00277E0A"/>
    <w:rsid w:val="002834D8"/>
    <w:rsid w:val="002848FE"/>
    <w:rsid w:val="00287808"/>
    <w:rsid w:val="002904E7"/>
    <w:rsid w:val="00292131"/>
    <w:rsid w:val="00295D49"/>
    <w:rsid w:val="0029689A"/>
    <w:rsid w:val="002A4E01"/>
    <w:rsid w:val="002A6307"/>
    <w:rsid w:val="002A79B5"/>
    <w:rsid w:val="002B1F64"/>
    <w:rsid w:val="002B570F"/>
    <w:rsid w:val="002C0905"/>
    <w:rsid w:val="002C21A9"/>
    <w:rsid w:val="002C2B57"/>
    <w:rsid w:val="002C3560"/>
    <w:rsid w:val="002D2D13"/>
    <w:rsid w:val="002E4291"/>
    <w:rsid w:val="002E7A4B"/>
    <w:rsid w:val="002F1AE3"/>
    <w:rsid w:val="002F7419"/>
    <w:rsid w:val="00301DFC"/>
    <w:rsid w:val="003031C7"/>
    <w:rsid w:val="003068EB"/>
    <w:rsid w:val="0031208C"/>
    <w:rsid w:val="00312A8E"/>
    <w:rsid w:val="003146AA"/>
    <w:rsid w:val="003354AF"/>
    <w:rsid w:val="003358E4"/>
    <w:rsid w:val="00344ACB"/>
    <w:rsid w:val="00351472"/>
    <w:rsid w:val="00355281"/>
    <w:rsid w:val="00362E1C"/>
    <w:rsid w:val="00363AAB"/>
    <w:rsid w:val="0036453C"/>
    <w:rsid w:val="003646B3"/>
    <w:rsid w:val="003667E1"/>
    <w:rsid w:val="00367AA2"/>
    <w:rsid w:val="00371EEF"/>
    <w:rsid w:val="003734AD"/>
    <w:rsid w:val="00380690"/>
    <w:rsid w:val="003823D9"/>
    <w:rsid w:val="0038341E"/>
    <w:rsid w:val="003931AB"/>
    <w:rsid w:val="003C2545"/>
    <w:rsid w:val="003C3801"/>
    <w:rsid w:val="003C4B70"/>
    <w:rsid w:val="003C5C10"/>
    <w:rsid w:val="003D13FD"/>
    <w:rsid w:val="003E0033"/>
    <w:rsid w:val="003E052D"/>
    <w:rsid w:val="003E118E"/>
    <w:rsid w:val="003E7678"/>
    <w:rsid w:val="003F0406"/>
    <w:rsid w:val="003F04DF"/>
    <w:rsid w:val="003F0A31"/>
    <w:rsid w:val="003F527A"/>
    <w:rsid w:val="003F7C75"/>
    <w:rsid w:val="00400B5C"/>
    <w:rsid w:val="00403CE7"/>
    <w:rsid w:val="00405216"/>
    <w:rsid w:val="00405577"/>
    <w:rsid w:val="00407F93"/>
    <w:rsid w:val="00415AFE"/>
    <w:rsid w:val="00420889"/>
    <w:rsid w:val="0042088C"/>
    <w:rsid w:val="00421A90"/>
    <w:rsid w:val="00423CBF"/>
    <w:rsid w:val="00430FC7"/>
    <w:rsid w:val="00440170"/>
    <w:rsid w:val="0044155D"/>
    <w:rsid w:val="004424C7"/>
    <w:rsid w:val="00443C5A"/>
    <w:rsid w:val="0044694D"/>
    <w:rsid w:val="00447080"/>
    <w:rsid w:val="0045278B"/>
    <w:rsid w:val="00453DE1"/>
    <w:rsid w:val="00454961"/>
    <w:rsid w:val="004549D0"/>
    <w:rsid w:val="00460003"/>
    <w:rsid w:val="00460E4D"/>
    <w:rsid w:val="004618F0"/>
    <w:rsid w:val="00464004"/>
    <w:rsid w:val="004665A3"/>
    <w:rsid w:val="0046691B"/>
    <w:rsid w:val="00470845"/>
    <w:rsid w:val="00470ABA"/>
    <w:rsid w:val="00471CFD"/>
    <w:rsid w:val="00472E27"/>
    <w:rsid w:val="00476183"/>
    <w:rsid w:val="00496024"/>
    <w:rsid w:val="004A05EB"/>
    <w:rsid w:val="004C10D9"/>
    <w:rsid w:val="004E25ED"/>
    <w:rsid w:val="004E2B29"/>
    <w:rsid w:val="004E370E"/>
    <w:rsid w:val="004E512B"/>
    <w:rsid w:val="004F3C11"/>
    <w:rsid w:val="004F4464"/>
    <w:rsid w:val="004F70FE"/>
    <w:rsid w:val="004F7917"/>
    <w:rsid w:val="00507563"/>
    <w:rsid w:val="0052145D"/>
    <w:rsid w:val="00524963"/>
    <w:rsid w:val="00524B02"/>
    <w:rsid w:val="00527D3C"/>
    <w:rsid w:val="00531771"/>
    <w:rsid w:val="00535206"/>
    <w:rsid w:val="00535B3B"/>
    <w:rsid w:val="00543365"/>
    <w:rsid w:val="0054497E"/>
    <w:rsid w:val="00545ECB"/>
    <w:rsid w:val="00550BF9"/>
    <w:rsid w:val="00552B86"/>
    <w:rsid w:val="00552E1F"/>
    <w:rsid w:val="00553E13"/>
    <w:rsid w:val="00555008"/>
    <w:rsid w:val="005575C6"/>
    <w:rsid w:val="005648C4"/>
    <w:rsid w:val="0056585B"/>
    <w:rsid w:val="00580EA0"/>
    <w:rsid w:val="00585E01"/>
    <w:rsid w:val="00586C8B"/>
    <w:rsid w:val="005A0661"/>
    <w:rsid w:val="005A0C8C"/>
    <w:rsid w:val="005B078D"/>
    <w:rsid w:val="005B633C"/>
    <w:rsid w:val="005C0717"/>
    <w:rsid w:val="005C2008"/>
    <w:rsid w:val="005C3E3A"/>
    <w:rsid w:val="005C59EF"/>
    <w:rsid w:val="005D01F6"/>
    <w:rsid w:val="005D2400"/>
    <w:rsid w:val="005D3C17"/>
    <w:rsid w:val="005E65F0"/>
    <w:rsid w:val="005F0E8C"/>
    <w:rsid w:val="005F5D26"/>
    <w:rsid w:val="00602607"/>
    <w:rsid w:val="006046E4"/>
    <w:rsid w:val="00605306"/>
    <w:rsid w:val="00605CEA"/>
    <w:rsid w:val="0060692C"/>
    <w:rsid w:val="006111B9"/>
    <w:rsid w:val="00612EBF"/>
    <w:rsid w:val="006145BE"/>
    <w:rsid w:val="00617B09"/>
    <w:rsid w:val="00620052"/>
    <w:rsid w:val="00623D61"/>
    <w:rsid w:val="00626F12"/>
    <w:rsid w:val="0063333D"/>
    <w:rsid w:val="006338C5"/>
    <w:rsid w:val="00634766"/>
    <w:rsid w:val="006410A0"/>
    <w:rsid w:val="0065357F"/>
    <w:rsid w:val="00654264"/>
    <w:rsid w:val="006555CE"/>
    <w:rsid w:val="00656139"/>
    <w:rsid w:val="00662BCF"/>
    <w:rsid w:val="00665564"/>
    <w:rsid w:val="00665E88"/>
    <w:rsid w:val="00684F21"/>
    <w:rsid w:val="00691DCF"/>
    <w:rsid w:val="00692A8B"/>
    <w:rsid w:val="006946F7"/>
    <w:rsid w:val="00696439"/>
    <w:rsid w:val="00696F32"/>
    <w:rsid w:val="006A18F9"/>
    <w:rsid w:val="006A2B05"/>
    <w:rsid w:val="006A573B"/>
    <w:rsid w:val="006B00F5"/>
    <w:rsid w:val="006B10E6"/>
    <w:rsid w:val="006B1C14"/>
    <w:rsid w:val="006B5EF5"/>
    <w:rsid w:val="006C1E04"/>
    <w:rsid w:val="006D1D42"/>
    <w:rsid w:val="006D21F6"/>
    <w:rsid w:val="006D223E"/>
    <w:rsid w:val="006D6B84"/>
    <w:rsid w:val="006D7A16"/>
    <w:rsid w:val="006E24F7"/>
    <w:rsid w:val="006E3A0D"/>
    <w:rsid w:val="006E422F"/>
    <w:rsid w:val="006E471C"/>
    <w:rsid w:val="006E6119"/>
    <w:rsid w:val="006F1B74"/>
    <w:rsid w:val="00706C47"/>
    <w:rsid w:val="00716541"/>
    <w:rsid w:val="00716910"/>
    <w:rsid w:val="0072407A"/>
    <w:rsid w:val="00725B75"/>
    <w:rsid w:val="00732C27"/>
    <w:rsid w:val="00735483"/>
    <w:rsid w:val="0073795B"/>
    <w:rsid w:val="007423C7"/>
    <w:rsid w:val="00743B59"/>
    <w:rsid w:val="00743F3D"/>
    <w:rsid w:val="007513C4"/>
    <w:rsid w:val="00752739"/>
    <w:rsid w:val="007565E8"/>
    <w:rsid w:val="0077183C"/>
    <w:rsid w:val="0077513C"/>
    <w:rsid w:val="00783E1C"/>
    <w:rsid w:val="00790BD5"/>
    <w:rsid w:val="0079676F"/>
    <w:rsid w:val="00797FD7"/>
    <w:rsid w:val="007A0D19"/>
    <w:rsid w:val="007A0F1B"/>
    <w:rsid w:val="007A3CED"/>
    <w:rsid w:val="007A6910"/>
    <w:rsid w:val="007B0254"/>
    <w:rsid w:val="007B032B"/>
    <w:rsid w:val="007B378D"/>
    <w:rsid w:val="007B7783"/>
    <w:rsid w:val="007C0C51"/>
    <w:rsid w:val="007C1BCB"/>
    <w:rsid w:val="007D0E80"/>
    <w:rsid w:val="007D382D"/>
    <w:rsid w:val="007D3D6B"/>
    <w:rsid w:val="007D6F76"/>
    <w:rsid w:val="007E61FA"/>
    <w:rsid w:val="007F4808"/>
    <w:rsid w:val="00801CF4"/>
    <w:rsid w:val="008049E8"/>
    <w:rsid w:val="00805954"/>
    <w:rsid w:val="00820ED4"/>
    <w:rsid w:val="00824A01"/>
    <w:rsid w:val="00826E2C"/>
    <w:rsid w:val="00841794"/>
    <w:rsid w:val="00845749"/>
    <w:rsid w:val="008465D0"/>
    <w:rsid w:val="00847FB7"/>
    <w:rsid w:val="00850BE9"/>
    <w:rsid w:val="008538BE"/>
    <w:rsid w:val="008610D0"/>
    <w:rsid w:val="00865321"/>
    <w:rsid w:val="008667ED"/>
    <w:rsid w:val="008711AF"/>
    <w:rsid w:val="00875C6B"/>
    <w:rsid w:val="0087688C"/>
    <w:rsid w:val="00881E36"/>
    <w:rsid w:val="00882566"/>
    <w:rsid w:val="008914A2"/>
    <w:rsid w:val="00891941"/>
    <w:rsid w:val="00892417"/>
    <w:rsid w:val="0089371A"/>
    <w:rsid w:val="00893D93"/>
    <w:rsid w:val="0089457A"/>
    <w:rsid w:val="008A0F30"/>
    <w:rsid w:val="008A41A3"/>
    <w:rsid w:val="008B143D"/>
    <w:rsid w:val="008B32F5"/>
    <w:rsid w:val="008C02FE"/>
    <w:rsid w:val="008C16A7"/>
    <w:rsid w:val="008D5529"/>
    <w:rsid w:val="008E5678"/>
    <w:rsid w:val="008F7322"/>
    <w:rsid w:val="00900EF7"/>
    <w:rsid w:val="00902F2A"/>
    <w:rsid w:val="009052BB"/>
    <w:rsid w:val="00905377"/>
    <w:rsid w:val="009172EA"/>
    <w:rsid w:val="00920AB8"/>
    <w:rsid w:val="00921741"/>
    <w:rsid w:val="009219B4"/>
    <w:rsid w:val="009226C4"/>
    <w:rsid w:val="00927F60"/>
    <w:rsid w:val="00934350"/>
    <w:rsid w:val="009460A3"/>
    <w:rsid w:val="00947558"/>
    <w:rsid w:val="00947EDE"/>
    <w:rsid w:val="00953E5A"/>
    <w:rsid w:val="00970E87"/>
    <w:rsid w:val="00971813"/>
    <w:rsid w:val="009719F1"/>
    <w:rsid w:val="00971F6A"/>
    <w:rsid w:val="0098237F"/>
    <w:rsid w:val="00983660"/>
    <w:rsid w:val="00986D82"/>
    <w:rsid w:val="00990EAC"/>
    <w:rsid w:val="00991A7C"/>
    <w:rsid w:val="009921CA"/>
    <w:rsid w:val="009A0D78"/>
    <w:rsid w:val="009A4EF6"/>
    <w:rsid w:val="009A7319"/>
    <w:rsid w:val="009B0F25"/>
    <w:rsid w:val="009B4519"/>
    <w:rsid w:val="009B6537"/>
    <w:rsid w:val="009C129C"/>
    <w:rsid w:val="009C3E7F"/>
    <w:rsid w:val="009C6091"/>
    <w:rsid w:val="009C6289"/>
    <w:rsid w:val="009C6828"/>
    <w:rsid w:val="009D1FFA"/>
    <w:rsid w:val="009E1FFA"/>
    <w:rsid w:val="009E40D0"/>
    <w:rsid w:val="009E61FF"/>
    <w:rsid w:val="009F4D6C"/>
    <w:rsid w:val="009F5A75"/>
    <w:rsid w:val="009F5B44"/>
    <w:rsid w:val="009F672A"/>
    <w:rsid w:val="00A12ECF"/>
    <w:rsid w:val="00A13A07"/>
    <w:rsid w:val="00A200F9"/>
    <w:rsid w:val="00A208DF"/>
    <w:rsid w:val="00A24500"/>
    <w:rsid w:val="00A279EE"/>
    <w:rsid w:val="00A378E2"/>
    <w:rsid w:val="00A523CE"/>
    <w:rsid w:val="00A5570D"/>
    <w:rsid w:val="00A57C24"/>
    <w:rsid w:val="00A64E0D"/>
    <w:rsid w:val="00A6529C"/>
    <w:rsid w:val="00A7448F"/>
    <w:rsid w:val="00A75588"/>
    <w:rsid w:val="00A901A2"/>
    <w:rsid w:val="00A904B9"/>
    <w:rsid w:val="00A9223F"/>
    <w:rsid w:val="00A9591F"/>
    <w:rsid w:val="00A96C40"/>
    <w:rsid w:val="00AA1BFB"/>
    <w:rsid w:val="00AA2EE0"/>
    <w:rsid w:val="00AA6E50"/>
    <w:rsid w:val="00AB41F2"/>
    <w:rsid w:val="00AC2DCE"/>
    <w:rsid w:val="00AC364C"/>
    <w:rsid w:val="00AC4B6D"/>
    <w:rsid w:val="00AD1B00"/>
    <w:rsid w:val="00AE130B"/>
    <w:rsid w:val="00AE4E02"/>
    <w:rsid w:val="00AE51E2"/>
    <w:rsid w:val="00AE7EC4"/>
    <w:rsid w:val="00AF0718"/>
    <w:rsid w:val="00AF4D44"/>
    <w:rsid w:val="00B01B41"/>
    <w:rsid w:val="00B027B8"/>
    <w:rsid w:val="00B05356"/>
    <w:rsid w:val="00B070D8"/>
    <w:rsid w:val="00B14D7A"/>
    <w:rsid w:val="00B15A5C"/>
    <w:rsid w:val="00B22695"/>
    <w:rsid w:val="00B247A2"/>
    <w:rsid w:val="00B25644"/>
    <w:rsid w:val="00B302B4"/>
    <w:rsid w:val="00B37F6A"/>
    <w:rsid w:val="00B44BC4"/>
    <w:rsid w:val="00B44EAF"/>
    <w:rsid w:val="00B451D8"/>
    <w:rsid w:val="00B45EEA"/>
    <w:rsid w:val="00B47120"/>
    <w:rsid w:val="00B5201B"/>
    <w:rsid w:val="00B602E1"/>
    <w:rsid w:val="00B63D97"/>
    <w:rsid w:val="00B73F0A"/>
    <w:rsid w:val="00B74D34"/>
    <w:rsid w:val="00B7566F"/>
    <w:rsid w:val="00B765E7"/>
    <w:rsid w:val="00B77AA9"/>
    <w:rsid w:val="00B80A88"/>
    <w:rsid w:val="00B81E55"/>
    <w:rsid w:val="00B83654"/>
    <w:rsid w:val="00B84936"/>
    <w:rsid w:val="00B84B5E"/>
    <w:rsid w:val="00B85118"/>
    <w:rsid w:val="00B87B3F"/>
    <w:rsid w:val="00B93C6E"/>
    <w:rsid w:val="00BA0B76"/>
    <w:rsid w:val="00BA14FF"/>
    <w:rsid w:val="00BB781A"/>
    <w:rsid w:val="00BD0DDE"/>
    <w:rsid w:val="00BD1184"/>
    <w:rsid w:val="00BD14D5"/>
    <w:rsid w:val="00BD6CB1"/>
    <w:rsid w:val="00BD7EA3"/>
    <w:rsid w:val="00BF0815"/>
    <w:rsid w:val="00BF5991"/>
    <w:rsid w:val="00BF7773"/>
    <w:rsid w:val="00C00EFE"/>
    <w:rsid w:val="00C01D1E"/>
    <w:rsid w:val="00C04C7B"/>
    <w:rsid w:val="00C10DA1"/>
    <w:rsid w:val="00C12BD6"/>
    <w:rsid w:val="00C13BBA"/>
    <w:rsid w:val="00C15DA0"/>
    <w:rsid w:val="00C20953"/>
    <w:rsid w:val="00C37470"/>
    <w:rsid w:val="00C416DC"/>
    <w:rsid w:val="00C4380E"/>
    <w:rsid w:val="00C43C21"/>
    <w:rsid w:val="00C43F7A"/>
    <w:rsid w:val="00C503E0"/>
    <w:rsid w:val="00C5476A"/>
    <w:rsid w:val="00C6147E"/>
    <w:rsid w:val="00C64539"/>
    <w:rsid w:val="00C64ECD"/>
    <w:rsid w:val="00C663F8"/>
    <w:rsid w:val="00C66701"/>
    <w:rsid w:val="00C668D0"/>
    <w:rsid w:val="00C706F2"/>
    <w:rsid w:val="00C80FE8"/>
    <w:rsid w:val="00C8231F"/>
    <w:rsid w:val="00C8532C"/>
    <w:rsid w:val="00C86003"/>
    <w:rsid w:val="00C930FE"/>
    <w:rsid w:val="00C941EF"/>
    <w:rsid w:val="00C96CE7"/>
    <w:rsid w:val="00C97A13"/>
    <w:rsid w:val="00CA1AA5"/>
    <w:rsid w:val="00CB1C17"/>
    <w:rsid w:val="00CC237B"/>
    <w:rsid w:val="00CC50F0"/>
    <w:rsid w:val="00CC5CEE"/>
    <w:rsid w:val="00CD17E0"/>
    <w:rsid w:val="00CD2D0F"/>
    <w:rsid w:val="00CD315C"/>
    <w:rsid w:val="00CD3377"/>
    <w:rsid w:val="00CD424F"/>
    <w:rsid w:val="00CE3B47"/>
    <w:rsid w:val="00CE4106"/>
    <w:rsid w:val="00CE4438"/>
    <w:rsid w:val="00CE4B09"/>
    <w:rsid w:val="00CE518C"/>
    <w:rsid w:val="00CF05A6"/>
    <w:rsid w:val="00CF22B9"/>
    <w:rsid w:val="00D00742"/>
    <w:rsid w:val="00D02B31"/>
    <w:rsid w:val="00D03A0F"/>
    <w:rsid w:val="00D07710"/>
    <w:rsid w:val="00D141EF"/>
    <w:rsid w:val="00D24088"/>
    <w:rsid w:val="00D30A8E"/>
    <w:rsid w:val="00D41D15"/>
    <w:rsid w:val="00D4319E"/>
    <w:rsid w:val="00D5135B"/>
    <w:rsid w:val="00D525CA"/>
    <w:rsid w:val="00D539C5"/>
    <w:rsid w:val="00D5597A"/>
    <w:rsid w:val="00D55FB6"/>
    <w:rsid w:val="00D6059C"/>
    <w:rsid w:val="00D60E55"/>
    <w:rsid w:val="00D634BF"/>
    <w:rsid w:val="00D641A6"/>
    <w:rsid w:val="00D7213D"/>
    <w:rsid w:val="00D73CEF"/>
    <w:rsid w:val="00D776AD"/>
    <w:rsid w:val="00D77A1E"/>
    <w:rsid w:val="00D84556"/>
    <w:rsid w:val="00DA2582"/>
    <w:rsid w:val="00DA7F02"/>
    <w:rsid w:val="00DB0B60"/>
    <w:rsid w:val="00DB1DA1"/>
    <w:rsid w:val="00DC2BA0"/>
    <w:rsid w:val="00DC5557"/>
    <w:rsid w:val="00DE3A48"/>
    <w:rsid w:val="00DE5D29"/>
    <w:rsid w:val="00DF019A"/>
    <w:rsid w:val="00DF24CA"/>
    <w:rsid w:val="00DF4EE9"/>
    <w:rsid w:val="00DF5EE8"/>
    <w:rsid w:val="00E01002"/>
    <w:rsid w:val="00E064F9"/>
    <w:rsid w:val="00E065CE"/>
    <w:rsid w:val="00E1398D"/>
    <w:rsid w:val="00E16DA8"/>
    <w:rsid w:val="00E220C3"/>
    <w:rsid w:val="00E222CD"/>
    <w:rsid w:val="00E22307"/>
    <w:rsid w:val="00E2529F"/>
    <w:rsid w:val="00E2548E"/>
    <w:rsid w:val="00E273B7"/>
    <w:rsid w:val="00E3404D"/>
    <w:rsid w:val="00E343C0"/>
    <w:rsid w:val="00E43537"/>
    <w:rsid w:val="00E44CEA"/>
    <w:rsid w:val="00E47D71"/>
    <w:rsid w:val="00E52C10"/>
    <w:rsid w:val="00E54288"/>
    <w:rsid w:val="00E54B5A"/>
    <w:rsid w:val="00E6273E"/>
    <w:rsid w:val="00E76A61"/>
    <w:rsid w:val="00E774B0"/>
    <w:rsid w:val="00E902F1"/>
    <w:rsid w:val="00E91304"/>
    <w:rsid w:val="00E93B1B"/>
    <w:rsid w:val="00E9445B"/>
    <w:rsid w:val="00EA0A7C"/>
    <w:rsid w:val="00EA23BD"/>
    <w:rsid w:val="00EA5D96"/>
    <w:rsid w:val="00EA7276"/>
    <w:rsid w:val="00EB034D"/>
    <w:rsid w:val="00EB3F93"/>
    <w:rsid w:val="00EB7E26"/>
    <w:rsid w:val="00EC15BA"/>
    <w:rsid w:val="00EC19D4"/>
    <w:rsid w:val="00EC2920"/>
    <w:rsid w:val="00EC4872"/>
    <w:rsid w:val="00EC7214"/>
    <w:rsid w:val="00EC78AE"/>
    <w:rsid w:val="00ED047A"/>
    <w:rsid w:val="00ED08CE"/>
    <w:rsid w:val="00ED169F"/>
    <w:rsid w:val="00ED4ED2"/>
    <w:rsid w:val="00ED5DD7"/>
    <w:rsid w:val="00ED7732"/>
    <w:rsid w:val="00ED7EFA"/>
    <w:rsid w:val="00EE0FB1"/>
    <w:rsid w:val="00EE17FE"/>
    <w:rsid w:val="00EE3035"/>
    <w:rsid w:val="00EE49FE"/>
    <w:rsid w:val="00EE7637"/>
    <w:rsid w:val="00EF5958"/>
    <w:rsid w:val="00EF5E00"/>
    <w:rsid w:val="00EF67A4"/>
    <w:rsid w:val="00EF69EE"/>
    <w:rsid w:val="00EF7AC5"/>
    <w:rsid w:val="00EF7BA1"/>
    <w:rsid w:val="00F00395"/>
    <w:rsid w:val="00F07930"/>
    <w:rsid w:val="00F07B35"/>
    <w:rsid w:val="00F12FBF"/>
    <w:rsid w:val="00F17B87"/>
    <w:rsid w:val="00F2589D"/>
    <w:rsid w:val="00F3466A"/>
    <w:rsid w:val="00F43369"/>
    <w:rsid w:val="00F43E40"/>
    <w:rsid w:val="00F45947"/>
    <w:rsid w:val="00F470D3"/>
    <w:rsid w:val="00F60A5D"/>
    <w:rsid w:val="00F743B0"/>
    <w:rsid w:val="00F80CC5"/>
    <w:rsid w:val="00F93105"/>
    <w:rsid w:val="00F93A13"/>
    <w:rsid w:val="00FA209D"/>
    <w:rsid w:val="00FA291C"/>
    <w:rsid w:val="00FB2E23"/>
    <w:rsid w:val="00FB3591"/>
    <w:rsid w:val="00FC1C4F"/>
    <w:rsid w:val="00FC2CA6"/>
    <w:rsid w:val="00FC2CD8"/>
    <w:rsid w:val="00FC4994"/>
    <w:rsid w:val="00FD0741"/>
    <w:rsid w:val="00FE0A1A"/>
    <w:rsid w:val="00FE2121"/>
    <w:rsid w:val="00FE3B42"/>
    <w:rsid w:val="00FF5916"/>
    <w:rsid w:val="01BB69DA"/>
    <w:rsid w:val="046451CE"/>
    <w:rsid w:val="04CD7D64"/>
    <w:rsid w:val="07C16A08"/>
    <w:rsid w:val="081F1FB9"/>
    <w:rsid w:val="08613963"/>
    <w:rsid w:val="08783007"/>
    <w:rsid w:val="08BA008A"/>
    <w:rsid w:val="09563133"/>
    <w:rsid w:val="097A01AE"/>
    <w:rsid w:val="099A2105"/>
    <w:rsid w:val="0FB525EE"/>
    <w:rsid w:val="0FC53136"/>
    <w:rsid w:val="0FE909DC"/>
    <w:rsid w:val="109116D6"/>
    <w:rsid w:val="118B56B4"/>
    <w:rsid w:val="12570CDF"/>
    <w:rsid w:val="12931977"/>
    <w:rsid w:val="12BD274E"/>
    <w:rsid w:val="13814A1B"/>
    <w:rsid w:val="14395093"/>
    <w:rsid w:val="145B1C45"/>
    <w:rsid w:val="154F13DA"/>
    <w:rsid w:val="16344310"/>
    <w:rsid w:val="168610F5"/>
    <w:rsid w:val="182721AC"/>
    <w:rsid w:val="18FB1CF2"/>
    <w:rsid w:val="197D5ABF"/>
    <w:rsid w:val="19A54864"/>
    <w:rsid w:val="1AB60040"/>
    <w:rsid w:val="1BDE0CAD"/>
    <w:rsid w:val="1C760FBE"/>
    <w:rsid w:val="1D3F0AD5"/>
    <w:rsid w:val="1FF23D36"/>
    <w:rsid w:val="21ED676D"/>
    <w:rsid w:val="22A30C64"/>
    <w:rsid w:val="22C40D15"/>
    <w:rsid w:val="2350060C"/>
    <w:rsid w:val="23774DFB"/>
    <w:rsid w:val="245909A5"/>
    <w:rsid w:val="25E358EE"/>
    <w:rsid w:val="265C67DD"/>
    <w:rsid w:val="26970B26"/>
    <w:rsid w:val="27BD45FF"/>
    <w:rsid w:val="28FE4662"/>
    <w:rsid w:val="29361C2B"/>
    <w:rsid w:val="29774466"/>
    <w:rsid w:val="2A0F4201"/>
    <w:rsid w:val="2AEB1E5A"/>
    <w:rsid w:val="2B45120E"/>
    <w:rsid w:val="2B8625BE"/>
    <w:rsid w:val="2D2B448E"/>
    <w:rsid w:val="2FF34915"/>
    <w:rsid w:val="31721B70"/>
    <w:rsid w:val="3185531A"/>
    <w:rsid w:val="328522BE"/>
    <w:rsid w:val="331E4C1A"/>
    <w:rsid w:val="335601C3"/>
    <w:rsid w:val="33F54821"/>
    <w:rsid w:val="35DB54D6"/>
    <w:rsid w:val="37B114AF"/>
    <w:rsid w:val="383E199E"/>
    <w:rsid w:val="399F28EF"/>
    <w:rsid w:val="39BA6599"/>
    <w:rsid w:val="3A422C5A"/>
    <w:rsid w:val="422B2661"/>
    <w:rsid w:val="426224A6"/>
    <w:rsid w:val="42982300"/>
    <w:rsid w:val="43250476"/>
    <w:rsid w:val="44307945"/>
    <w:rsid w:val="45B31BF8"/>
    <w:rsid w:val="472D2614"/>
    <w:rsid w:val="4897220E"/>
    <w:rsid w:val="48C804F4"/>
    <w:rsid w:val="49343EE8"/>
    <w:rsid w:val="49364B27"/>
    <w:rsid w:val="499E1B50"/>
    <w:rsid w:val="4B1E5A56"/>
    <w:rsid w:val="4BE87463"/>
    <w:rsid w:val="4C665F1D"/>
    <w:rsid w:val="4CC0510F"/>
    <w:rsid w:val="4E585677"/>
    <w:rsid w:val="4E6C5390"/>
    <w:rsid w:val="4F05414C"/>
    <w:rsid w:val="4F4A58E6"/>
    <w:rsid w:val="51EC6135"/>
    <w:rsid w:val="554E0EFA"/>
    <w:rsid w:val="572F2943"/>
    <w:rsid w:val="57D83C46"/>
    <w:rsid w:val="586214C2"/>
    <w:rsid w:val="590A25B0"/>
    <w:rsid w:val="5A622306"/>
    <w:rsid w:val="5AB01723"/>
    <w:rsid w:val="5C943A65"/>
    <w:rsid w:val="5D5E2859"/>
    <w:rsid w:val="606F79B2"/>
    <w:rsid w:val="621F0476"/>
    <w:rsid w:val="6230351A"/>
    <w:rsid w:val="63D37DC1"/>
    <w:rsid w:val="671D7CC1"/>
    <w:rsid w:val="687C70C4"/>
    <w:rsid w:val="69074462"/>
    <w:rsid w:val="695E0C31"/>
    <w:rsid w:val="698958F4"/>
    <w:rsid w:val="6A250A96"/>
    <w:rsid w:val="6C9B0C01"/>
    <w:rsid w:val="6D5B3725"/>
    <w:rsid w:val="6E546A74"/>
    <w:rsid w:val="6F5959F6"/>
    <w:rsid w:val="6FA67F07"/>
    <w:rsid w:val="73322D14"/>
    <w:rsid w:val="75736568"/>
    <w:rsid w:val="773E6275"/>
    <w:rsid w:val="788C0951"/>
    <w:rsid w:val="78C3218A"/>
    <w:rsid w:val="79882DEC"/>
    <w:rsid w:val="79FE5971"/>
    <w:rsid w:val="7B1860A1"/>
    <w:rsid w:val="7BA6096B"/>
    <w:rsid w:val="7CE165B6"/>
    <w:rsid w:val="7D442CD3"/>
    <w:rsid w:val="7D85063B"/>
    <w:rsid w:val="7E3B2BCE"/>
    <w:rsid w:val="7EBA3DAB"/>
    <w:rsid w:val="7FCF7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numPr>
        <w:ilvl w:val="0"/>
        <w:numId w:val="1"/>
      </w:numPr>
      <w:spacing w:before="340" w:after="330" w:line="578" w:lineRule="auto"/>
      <w:outlineLvl w:val="0"/>
    </w:pPr>
    <w:rPr>
      <w:b/>
      <w:bCs/>
      <w:kern w:val="44"/>
      <w:sz w:val="28"/>
      <w:szCs w:val="44"/>
    </w:rPr>
  </w:style>
  <w:style w:type="paragraph" w:styleId="3">
    <w:name w:val="heading 2"/>
    <w:basedOn w:val="1"/>
    <w:next w:val="1"/>
    <w:link w:val="25"/>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28"/>
      <w:szCs w:val="32"/>
    </w:rPr>
  </w:style>
  <w:style w:type="paragraph" w:styleId="4">
    <w:name w:val="heading 3"/>
    <w:basedOn w:val="1"/>
    <w:next w:val="1"/>
    <w:link w:val="26"/>
    <w:unhideWhenUsed/>
    <w:qFormat/>
    <w:uiPriority w:val="9"/>
    <w:pPr>
      <w:keepNext/>
      <w:keepLines/>
      <w:numPr>
        <w:ilvl w:val="2"/>
        <w:numId w:val="1"/>
      </w:numPr>
      <w:spacing w:before="260" w:after="260" w:line="416" w:lineRule="auto"/>
      <w:outlineLvl w:val="2"/>
    </w:pPr>
    <w:rPr>
      <w:b/>
      <w:bCs/>
      <w:sz w:val="24"/>
      <w:szCs w:val="32"/>
    </w:rPr>
  </w:style>
  <w:style w:type="paragraph" w:styleId="5">
    <w:name w:val="heading 4"/>
    <w:basedOn w:val="1"/>
    <w:next w:val="1"/>
    <w:link w:val="27"/>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4"/>
      <w:szCs w:val="28"/>
    </w:rPr>
  </w:style>
  <w:style w:type="paragraph" w:styleId="6">
    <w:name w:val="heading 5"/>
    <w:basedOn w:val="1"/>
    <w:next w:val="1"/>
    <w:link w:val="28"/>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9"/>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0"/>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31"/>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32"/>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38"/>
    <w:unhideWhenUsed/>
    <w:qFormat/>
    <w:uiPriority w:val="99"/>
    <w:pPr>
      <w:jc w:val="left"/>
    </w:pPr>
  </w:style>
  <w:style w:type="paragraph" w:styleId="12">
    <w:name w:val="toc 3"/>
    <w:basedOn w:val="1"/>
    <w:next w:val="1"/>
    <w:unhideWhenUsed/>
    <w:qFormat/>
    <w:uiPriority w:val="39"/>
    <w:pPr>
      <w:ind w:left="840" w:leftChars="400"/>
    </w:pPr>
  </w:style>
  <w:style w:type="paragraph" w:styleId="13">
    <w:name w:val="Balloon Text"/>
    <w:basedOn w:val="1"/>
    <w:link w:val="37"/>
    <w:unhideWhenUsed/>
    <w:qFormat/>
    <w:uiPriority w:val="99"/>
    <w:rPr>
      <w:sz w:val="18"/>
      <w:szCs w:val="18"/>
    </w:rPr>
  </w:style>
  <w:style w:type="paragraph" w:styleId="14">
    <w:name w:val="footer"/>
    <w:basedOn w:val="1"/>
    <w:link w:val="34"/>
    <w:unhideWhenUsed/>
    <w:qFormat/>
    <w:uiPriority w:val="99"/>
    <w:pPr>
      <w:tabs>
        <w:tab w:val="center" w:pos="4153"/>
        <w:tab w:val="right" w:pos="8306"/>
      </w:tabs>
      <w:snapToGrid w:val="0"/>
      <w:jc w:val="left"/>
    </w:pPr>
    <w:rPr>
      <w:sz w:val="18"/>
      <w:szCs w:val="18"/>
    </w:rPr>
  </w:style>
  <w:style w:type="paragraph" w:styleId="15">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annotation subject"/>
    <w:basedOn w:val="11"/>
    <w:next w:val="11"/>
    <w:link w:val="39"/>
    <w:unhideWhenUsed/>
    <w:qFormat/>
    <w:uiPriority w:val="99"/>
    <w:rPr>
      <w:b/>
      <w:bCs/>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character" w:styleId="23">
    <w:name w:val="annotation reference"/>
    <w:basedOn w:val="21"/>
    <w:unhideWhenUsed/>
    <w:qFormat/>
    <w:uiPriority w:val="99"/>
    <w:rPr>
      <w:sz w:val="21"/>
      <w:szCs w:val="21"/>
    </w:rPr>
  </w:style>
  <w:style w:type="character" w:customStyle="1" w:styleId="24">
    <w:name w:val="标题 1 Char"/>
    <w:basedOn w:val="21"/>
    <w:link w:val="2"/>
    <w:qFormat/>
    <w:uiPriority w:val="9"/>
    <w:rPr>
      <w:b/>
      <w:bCs/>
      <w:kern w:val="44"/>
      <w:sz w:val="28"/>
      <w:szCs w:val="44"/>
    </w:rPr>
  </w:style>
  <w:style w:type="character" w:customStyle="1" w:styleId="25">
    <w:name w:val="标题 2 Char"/>
    <w:basedOn w:val="21"/>
    <w:link w:val="3"/>
    <w:qFormat/>
    <w:uiPriority w:val="9"/>
    <w:rPr>
      <w:rFonts w:asciiTheme="majorHAnsi" w:hAnsiTheme="majorHAnsi" w:eastAsiaTheme="majorEastAsia" w:cstheme="majorBidi"/>
      <w:b/>
      <w:bCs/>
      <w:sz w:val="28"/>
      <w:szCs w:val="32"/>
    </w:rPr>
  </w:style>
  <w:style w:type="character" w:customStyle="1" w:styleId="26">
    <w:name w:val="标题 3 Char"/>
    <w:basedOn w:val="21"/>
    <w:link w:val="4"/>
    <w:qFormat/>
    <w:uiPriority w:val="9"/>
    <w:rPr>
      <w:b/>
      <w:bCs/>
      <w:sz w:val="24"/>
      <w:szCs w:val="32"/>
    </w:rPr>
  </w:style>
  <w:style w:type="character" w:customStyle="1" w:styleId="27">
    <w:name w:val="标题 4 Char"/>
    <w:basedOn w:val="21"/>
    <w:link w:val="5"/>
    <w:qFormat/>
    <w:uiPriority w:val="9"/>
    <w:rPr>
      <w:rFonts w:asciiTheme="majorHAnsi" w:hAnsiTheme="majorHAnsi" w:eastAsiaTheme="majorEastAsia" w:cstheme="majorBidi"/>
      <w:b/>
      <w:bCs/>
      <w:sz w:val="24"/>
      <w:szCs w:val="28"/>
    </w:rPr>
  </w:style>
  <w:style w:type="character" w:customStyle="1" w:styleId="28">
    <w:name w:val="标题 5 Char"/>
    <w:basedOn w:val="21"/>
    <w:link w:val="6"/>
    <w:semiHidden/>
    <w:qFormat/>
    <w:uiPriority w:val="9"/>
    <w:rPr>
      <w:b/>
      <w:bCs/>
      <w:sz w:val="28"/>
      <w:szCs w:val="28"/>
    </w:rPr>
  </w:style>
  <w:style w:type="character" w:customStyle="1" w:styleId="29">
    <w:name w:val="标题 6 Char"/>
    <w:basedOn w:val="21"/>
    <w:link w:val="7"/>
    <w:semiHidden/>
    <w:qFormat/>
    <w:uiPriority w:val="9"/>
    <w:rPr>
      <w:rFonts w:asciiTheme="majorHAnsi" w:hAnsiTheme="majorHAnsi" w:eastAsiaTheme="majorEastAsia" w:cstheme="majorBidi"/>
      <w:b/>
      <w:bCs/>
      <w:sz w:val="24"/>
      <w:szCs w:val="24"/>
    </w:rPr>
  </w:style>
  <w:style w:type="character" w:customStyle="1" w:styleId="30">
    <w:name w:val="标题 7 Char"/>
    <w:basedOn w:val="21"/>
    <w:link w:val="8"/>
    <w:semiHidden/>
    <w:qFormat/>
    <w:uiPriority w:val="9"/>
    <w:rPr>
      <w:b/>
      <w:bCs/>
      <w:sz w:val="24"/>
      <w:szCs w:val="24"/>
    </w:rPr>
  </w:style>
  <w:style w:type="character" w:customStyle="1" w:styleId="31">
    <w:name w:val="标题 8 Char"/>
    <w:basedOn w:val="21"/>
    <w:link w:val="9"/>
    <w:semiHidden/>
    <w:qFormat/>
    <w:uiPriority w:val="9"/>
    <w:rPr>
      <w:rFonts w:asciiTheme="majorHAnsi" w:hAnsiTheme="majorHAnsi" w:eastAsiaTheme="majorEastAsia" w:cstheme="majorBidi"/>
      <w:sz w:val="24"/>
      <w:szCs w:val="24"/>
    </w:rPr>
  </w:style>
  <w:style w:type="character" w:customStyle="1" w:styleId="32">
    <w:name w:val="标题 9 Char"/>
    <w:basedOn w:val="21"/>
    <w:link w:val="10"/>
    <w:semiHidden/>
    <w:qFormat/>
    <w:uiPriority w:val="9"/>
    <w:rPr>
      <w:rFonts w:asciiTheme="majorHAnsi" w:hAnsiTheme="majorHAnsi" w:eastAsiaTheme="majorEastAsia" w:cstheme="majorBidi"/>
      <w:szCs w:val="21"/>
    </w:rPr>
  </w:style>
  <w:style w:type="character" w:customStyle="1" w:styleId="33">
    <w:name w:val="页眉 Char"/>
    <w:basedOn w:val="21"/>
    <w:link w:val="15"/>
    <w:qFormat/>
    <w:uiPriority w:val="99"/>
    <w:rPr>
      <w:sz w:val="18"/>
      <w:szCs w:val="18"/>
    </w:rPr>
  </w:style>
  <w:style w:type="character" w:customStyle="1" w:styleId="34">
    <w:name w:val="页脚 Char"/>
    <w:basedOn w:val="21"/>
    <w:link w:val="14"/>
    <w:qFormat/>
    <w:uiPriority w:val="99"/>
    <w:rPr>
      <w:sz w:val="18"/>
      <w:szCs w:val="18"/>
    </w:rPr>
  </w:style>
  <w:style w:type="paragraph" w:customStyle="1" w:styleId="35">
    <w:name w:val="列出段落1"/>
    <w:basedOn w:val="1"/>
    <w:qFormat/>
    <w:uiPriority w:val="99"/>
    <w:pPr>
      <w:ind w:firstLine="420" w:firstLineChars="200"/>
    </w:pPr>
  </w:style>
  <w:style w:type="paragraph" w:customStyle="1" w:styleId="36">
    <w:name w:val="TOC 标题1"/>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7">
    <w:name w:val="批注框文本 Char"/>
    <w:basedOn w:val="21"/>
    <w:link w:val="13"/>
    <w:semiHidden/>
    <w:qFormat/>
    <w:uiPriority w:val="99"/>
    <w:rPr>
      <w:sz w:val="18"/>
      <w:szCs w:val="18"/>
    </w:rPr>
  </w:style>
  <w:style w:type="character" w:customStyle="1" w:styleId="38">
    <w:name w:val="批注文字 Char"/>
    <w:basedOn w:val="21"/>
    <w:link w:val="11"/>
    <w:qFormat/>
    <w:uiPriority w:val="99"/>
    <w:rPr>
      <w:kern w:val="2"/>
      <w:sz w:val="21"/>
      <w:szCs w:val="22"/>
    </w:rPr>
  </w:style>
  <w:style w:type="character" w:customStyle="1" w:styleId="39">
    <w:name w:val="批注主题 Char"/>
    <w:basedOn w:val="38"/>
    <w:link w:val="18"/>
    <w:semiHidden/>
    <w:qFormat/>
    <w:uiPriority w:val="99"/>
    <w:rPr>
      <w:b/>
      <w:bCs/>
      <w:kern w:val="2"/>
      <w:sz w:val="21"/>
      <w:szCs w:val="22"/>
    </w:rPr>
  </w:style>
  <w:style w:type="paragraph" w:customStyle="1" w:styleId="40">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1">
    <w:name w:val="font31"/>
    <w:basedOn w:val="21"/>
    <w:qFormat/>
    <w:uiPriority w:val="0"/>
    <w:rPr>
      <w:rFonts w:hint="eastAsia" w:ascii="Microsoft JhengHei" w:hAnsi="Microsoft JhengHei" w:eastAsia="Microsoft JhengHei" w:cs="Microsoft JhengHei"/>
      <w:b/>
      <w:color w:val="000000"/>
      <w:sz w:val="21"/>
      <w:szCs w:val="21"/>
      <w:u w:val="none"/>
    </w:rPr>
  </w:style>
  <w:style w:type="paragraph" w:styleId="4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51CB3F-E02C-44C6-929D-9DEAACDEE8EC}">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3</Pages>
  <Words>181</Words>
  <Characters>1033</Characters>
  <Lines>8</Lines>
  <Paragraphs>2</Paragraphs>
  <TotalTime>0</TotalTime>
  <ScaleCrop>false</ScaleCrop>
  <LinksUpToDate>false</LinksUpToDate>
  <CharactersWithSpaces>1212</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2019-10-11T11:39:00Z</dcterms:created>
  <dc:creator>nsh</dc:creator>
  <cp:lastModifiedBy>赵玲利</cp:lastModifiedBy>
  <cp:lastPrinted>2021-04-20T11:05:00Z</cp:lastPrinted>
  <dcterms:modified xsi:type="dcterms:W3CDTF">2021-10-27T04:20:39Z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F5EE217228A04ED88293BFDDA0457F4A</vt:lpwstr>
  </property>
</Properties>
</file>