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E1E" w:rsidRDefault="00D00268">
      <w:pPr>
        <w:spacing w:line="360" w:lineRule="auto"/>
        <w:jc w:val="center"/>
        <w:rPr>
          <w:rFonts w:asciiTheme="minorEastAsia" w:hAnsiTheme="minorEastAsia"/>
          <w:b/>
          <w:sz w:val="32"/>
          <w:szCs w:val="32"/>
        </w:rPr>
      </w:pPr>
      <w:bookmarkStart w:id="0" w:name="_Toc524626124"/>
      <w:proofErr w:type="gramStart"/>
      <w:r>
        <w:rPr>
          <w:rFonts w:asciiTheme="minorEastAsia" w:hAnsiTheme="minorEastAsia" w:hint="eastAsia"/>
          <w:b/>
          <w:sz w:val="32"/>
          <w:szCs w:val="32"/>
        </w:rPr>
        <w:t>渝</w:t>
      </w:r>
      <w:proofErr w:type="gramEnd"/>
      <w:r>
        <w:rPr>
          <w:rFonts w:asciiTheme="minorEastAsia" w:hAnsiTheme="minorEastAsia" w:hint="eastAsia"/>
          <w:b/>
          <w:sz w:val="32"/>
          <w:szCs w:val="32"/>
        </w:rPr>
        <w:t>农商理财有限责任公司</w:t>
      </w:r>
      <w:proofErr w:type="gramStart"/>
      <w:r>
        <w:rPr>
          <w:rFonts w:asciiTheme="minorEastAsia" w:hAnsiTheme="minorEastAsia" w:hint="eastAsia"/>
          <w:b/>
          <w:sz w:val="32"/>
          <w:szCs w:val="32"/>
        </w:rPr>
        <w:t>渝</w:t>
      </w:r>
      <w:proofErr w:type="gramEnd"/>
      <w:r>
        <w:rPr>
          <w:rFonts w:asciiTheme="minorEastAsia" w:hAnsiTheme="minorEastAsia" w:hint="eastAsia"/>
          <w:b/>
          <w:sz w:val="32"/>
          <w:szCs w:val="32"/>
        </w:rPr>
        <w:t>农商理财江渝</w:t>
      </w:r>
      <w:proofErr w:type="gramStart"/>
      <w:r>
        <w:rPr>
          <w:rFonts w:asciiTheme="minorEastAsia" w:hAnsiTheme="minorEastAsia" w:hint="eastAsia"/>
          <w:b/>
          <w:sz w:val="32"/>
          <w:szCs w:val="32"/>
        </w:rPr>
        <w:t>财富天</w:t>
      </w:r>
      <w:proofErr w:type="gramEnd"/>
      <w:r>
        <w:rPr>
          <w:rFonts w:asciiTheme="minorEastAsia" w:hAnsiTheme="minorEastAsia" w:hint="eastAsia"/>
          <w:b/>
          <w:sz w:val="32"/>
          <w:szCs w:val="32"/>
        </w:rPr>
        <w:t>添金兴时</w:t>
      </w:r>
    </w:p>
    <w:p w:rsidR="00DC7E1E" w:rsidRDefault="00D00268">
      <w:pPr>
        <w:spacing w:line="360" w:lineRule="auto"/>
        <w:jc w:val="center"/>
        <w:rPr>
          <w:rFonts w:asciiTheme="minorEastAsia" w:hAnsiTheme="minorEastAsia"/>
          <w:b/>
          <w:sz w:val="32"/>
          <w:szCs w:val="32"/>
        </w:rPr>
      </w:pPr>
      <w:r>
        <w:rPr>
          <w:rFonts w:asciiTheme="minorEastAsia" w:hAnsiTheme="minorEastAsia" w:hint="eastAsia"/>
          <w:b/>
          <w:sz w:val="32"/>
          <w:szCs w:val="32"/>
        </w:rPr>
        <w:t>9</w:t>
      </w:r>
      <w:r>
        <w:rPr>
          <w:rFonts w:asciiTheme="minorEastAsia" w:hAnsiTheme="minorEastAsia" w:hint="eastAsia"/>
          <w:b/>
          <w:sz w:val="32"/>
          <w:szCs w:val="32"/>
        </w:rPr>
        <w:t>个月定开</w:t>
      </w:r>
      <w:r>
        <w:rPr>
          <w:rFonts w:asciiTheme="minorEastAsia" w:hAnsiTheme="minorEastAsia" w:hint="eastAsia"/>
          <w:b/>
          <w:sz w:val="32"/>
          <w:szCs w:val="32"/>
        </w:rPr>
        <w:t>1</w:t>
      </w:r>
      <w:r>
        <w:rPr>
          <w:rFonts w:asciiTheme="minorEastAsia" w:hAnsiTheme="minorEastAsia" w:hint="eastAsia"/>
          <w:b/>
          <w:sz w:val="32"/>
          <w:szCs w:val="32"/>
        </w:rPr>
        <w:t>号理财产品</w:t>
      </w:r>
      <w:r>
        <w:rPr>
          <w:rFonts w:asciiTheme="minorEastAsia" w:hAnsiTheme="minorEastAsia" w:hint="eastAsia"/>
          <w:b/>
          <w:sz w:val="32"/>
          <w:szCs w:val="32"/>
        </w:rPr>
        <w:t>2021</w:t>
      </w:r>
      <w:r>
        <w:rPr>
          <w:rFonts w:asciiTheme="minorEastAsia" w:hAnsiTheme="minorEastAsia" w:hint="eastAsia"/>
          <w:b/>
          <w:sz w:val="32"/>
          <w:szCs w:val="32"/>
        </w:rPr>
        <w:t>年</w:t>
      </w:r>
      <w:r>
        <w:rPr>
          <w:rFonts w:asciiTheme="minorEastAsia" w:hAnsiTheme="minorEastAsia" w:hint="eastAsia"/>
          <w:b/>
          <w:sz w:val="32"/>
          <w:szCs w:val="32"/>
        </w:rPr>
        <w:t>第二季度</w:t>
      </w:r>
    </w:p>
    <w:p w:rsidR="00DC7E1E" w:rsidRDefault="00D00268">
      <w:pPr>
        <w:spacing w:line="360" w:lineRule="auto"/>
        <w:jc w:val="center"/>
        <w:rPr>
          <w:rFonts w:eastAsia="仿宋"/>
          <w:b/>
          <w:sz w:val="24"/>
        </w:rPr>
      </w:pPr>
      <w:proofErr w:type="gramStart"/>
      <w:r>
        <w:rPr>
          <w:rFonts w:asciiTheme="minorEastAsia" w:hAnsiTheme="minorEastAsia" w:hint="eastAsia"/>
          <w:b/>
          <w:sz w:val="32"/>
          <w:szCs w:val="32"/>
        </w:rPr>
        <w:t>暨半年</w:t>
      </w:r>
      <w:r>
        <w:rPr>
          <w:rFonts w:asciiTheme="minorEastAsia" w:hAnsiTheme="minorEastAsia" w:hint="eastAsia"/>
          <w:b/>
          <w:sz w:val="32"/>
          <w:szCs w:val="32"/>
        </w:rPr>
        <w:t>度</w:t>
      </w:r>
      <w:proofErr w:type="gramEnd"/>
      <w:r>
        <w:rPr>
          <w:rFonts w:asciiTheme="minorEastAsia" w:hAnsiTheme="minorEastAsia" w:hint="eastAsia"/>
          <w:b/>
          <w:sz w:val="32"/>
          <w:szCs w:val="32"/>
        </w:rPr>
        <w:t>投资管理报告</w:t>
      </w:r>
    </w:p>
    <w:p w:rsidR="00DC7E1E" w:rsidRDefault="00D00268">
      <w:pPr>
        <w:spacing w:line="360" w:lineRule="auto"/>
        <w:rPr>
          <w:rFonts w:asciiTheme="minorEastAsia" w:hAnsiTheme="minorEastAsia"/>
          <w:szCs w:val="21"/>
        </w:rPr>
      </w:pPr>
      <w:r>
        <w:rPr>
          <w:rFonts w:asciiTheme="minorEastAsia" w:hAnsiTheme="minorEastAsia"/>
          <w:szCs w:val="21"/>
        </w:rPr>
        <w:t>一</w:t>
      </w:r>
      <w:r>
        <w:rPr>
          <w:rFonts w:asciiTheme="minorEastAsia" w:hAnsiTheme="minorEastAsia" w:hint="eastAsia"/>
          <w:szCs w:val="21"/>
        </w:rPr>
        <w:t>、</w:t>
      </w:r>
      <w:r>
        <w:rPr>
          <w:rFonts w:asciiTheme="minorEastAsia" w:hAnsiTheme="minorEastAsia"/>
          <w:szCs w:val="21"/>
        </w:rPr>
        <w:t>产品简介</w:t>
      </w:r>
    </w:p>
    <w:tbl>
      <w:tblPr>
        <w:tblStyle w:val="a8"/>
        <w:tblW w:w="8296" w:type="dxa"/>
        <w:tblLayout w:type="fixed"/>
        <w:tblLook w:val="04A0" w:firstRow="1" w:lastRow="0" w:firstColumn="1" w:lastColumn="0" w:noHBand="0" w:noVBand="1"/>
      </w:tblPr>
      <w:tblGrid>
        <w:gridCol w:w="2263"/>
        <w:gridCol w:w="6033"/>
      </w:tblGrid>
      <w:tr w:rsidR="00DC7E1E">
        <w:trPr>
          <w:trHeight w:val="510"/>
        </w:trPr>
        <w:tc>
          <w:tcPr>
            <w:tcW w:w="2263"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产品名称</w:t>
            </w:r>
          </w:p>
        </w:tc>
        <w:tc>
          <w:tcPr>
            <w:tcW w:w="6033" w:type="dxa"/>
            <w:vAlign w:val="center"/>
          </w:tcPr>
          <w:p w:rsidR="00DC7E1E" w:rsidRDefault="00D00268">
            <w:pPr>
              <w:widowControl/>
              <w:textAlignment w:val="top"/>
              <w:rPr>
                <w:rFonts w:ascii="宋体" w:eastAsia="宋体" w:hAnsi="宋体" w:cs="宋体"/>
                <w:color w:val="000000"/>
                <w:kern w:val="0"/>
                <w:sz w:val="18"/>
                <w:szCs w:val="18"/>
                <w:lang w:bidi="ar"/>
              </w:rPr>
            </w:pPr>
            <w:proofErr w:type="gramStart"/>
            <w:r>
              <w:rPr>
                <w:rFonts w:ascii="宋体" w:eastAsia="宋体" w:hAnsi="宋体" w:cs="宋体" w:hint="eastAsia"/>
                <w:color w:val="000000"/>
                <w:kern w:val="0"/>
                <w:sz w:val="18"/>
                <w:szCs w:val="18"/>
                <w:lang w:bidi="ar"/>
              </w:rPr>
              <w:t>渝</w:t>
            </w:r>
            <w:proofErr w:type="gramEnd"/>
            <w:r>
              <w:rPr>
                <w:rFonts w:ascii="宋体" w:eastAsia="宋体" w:hAnsi="宋体" w:cs="宋体" w:hint="eastAsia"/>
                <w:color w:val="000000"/>
                <w:kern w:val="0"/>
                <w:sz w:val="18"/>
                <w:szCs w:val="18"/>
                <w:lang w:bidi="ar"/>
              </w:rPr>
              <w:t>农商理财江渝</w:t>
            </w:r>
            <w:proofErr w:type="gramStart"/>
            <w:r>
              <w:rPr>
                <w:rFonts w:ascii="宋体" w:eastAsia="宋体" w:hAnsi="宋体" w:cs="宋体" w:hint="eastAsia"/>
                <w:color w:val="000000"/>
                <w:kern w:val="0"/>
                <w:sz w:val="18"/>
                <w:szCs w:val="18"/>
                <w:lang w:bidi="ar"/>
              </w:rPr>
              <w:t>财富天</w:t>
            </w:r>
            <w:proofErr w:type="gramEnd"/>
            <w:r>
              <w:rPr>
                <w:rFonts w:ascii="宋体" w:eastAsia="宋体" w:hAnsi="宋体" w:cs="宋体" w:hint="eastAsia"/>
                <w:color w:val="000000"/>
                <w:kern w:val="0"/>
                <w:sz w:val="18"/>
                <w:szCs w:val="18"/>
                <w:lang w:bidi="ar"/>
              </w:rPr>
              <w:t>添金兴时</w:t>
            </w:r>
            <w:r>
              <w:rPr>
                <w:rFonts w:ascii="宋体" w:eastAsia="宋体" w:hAnsi="宋体" w:cs="宋体" w:hint="eastAsia"/>
                <w:color w:val="000000"/>
                <w:kern w:val="0"/>
                <w:sz w:val="18"/>
                <w:szCs w:val="18"/>
                <w:lang w:bidi="ar"/>
              </w:rPr>
              <w:t>9</w:t>
            </w:r>
            <w:r>
              <w:rPr>
                <w:rFonts w:ascii="宋体" w:eastAsia="宋体" w:hAnsi="宋体" w:cs="宋体" w:hint="eastAsia"/>
                <w:color w:val="000000"/>
                <w:kern w:val="0"/>
                <w:sz w:val="18"/>
                <w:szCs w:val="18"/>
                <w:lang w:bidi="ar"/>
              </w:rPr>
              <w:t>个月定开</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号理财产品</w:t>
            </w:r>
          </w:p>
        </w:tc>
      </w:tr>
      <w:tr w:rsidR="00DC7E1E">
        <w:tc>
          <w:tcPr>
            <w:tcW w:w="2263"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产品编号</w:t>
            </w:r>
          </w:p>
        </w:tc>
        <w:tc>
          <w:tcPr>
            <w:tcW w:w="6033"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20GSGK41003</w:t>
            </w:r>
          </w:p>
        </w:tc>
      </w:tr>
      <w:tr w:rsidR="00DC7E1E">
        <w:tc>
          <w:tcPr>
            <w:tcW w:w="2263"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理财系统登记编码</w:t>
            </w:r>
          </w:p>
        </w:tc>
        <w:tc>
          <w:tcPr>
            <w:tcW w:w="6033"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Z7002720000015</w:t>
            </w:r>
          </w:p>
        </w:tc>
      </w:tr>
      <w:tr w:rsidR="00DC7E1E">
        <w:tc>
          <w:tcPr>
            <w:tcW w:w="2263"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产品类型</w:t>
            </w:r>
          </w:p>
        </w:tc>
        <w:tc>
          <w:tcPr>
            <w:tcW w:w="6033"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非保本浮动收益型</w:t>
            </w:r>
          </w:p>
        </w:tc>
      </w:tr>
      <w:tr w:rsidR="00DC7E1E">
        <w:tc>
          <w:tcPr>
            <w:tcW w:w="2263"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产品类别</w:t>
            </w:r>
          </w:p>
        </w:tc>
        <w:tc>
          <w:tcPr>
            <w:tcW w:w="6033"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固定收益</w:t>
            </w:r>
            <w:proofErr w:type="gramStart"/>
            <w:r>
              <w:rPr>
                <w:rFonts w:ascii="宋体" w:eastAsia="宋体" w:hAnsi="宋体" w:cs="宋体" w:hint="eastAsia"/>
                <w:color w:val="000000"/>
                <w:kern w:val="0"/>
                <w:sz w:val="18"/>
                <w:szCs w:val="18"/>
                <w:lang w:bidi="ar"/>
              </w:rPr>
              <w:t>类公募产品</w:t>
            </w:r>
            <w:proofErr w:type="gramEnd"/>
          </w:p>
        </w:tc>
      </w:tr>
      <w:tr w:rsidR="00DC7E1E">
        <w:tc>
          <w:tcPr>
            <w:tcW w:w="2263"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内部风险评级</w:t>
            </w:r>
          </w:p>
        </w:tc>
        <w:tc>
          <w:tcPr>
            <w:tcW w:w="6033"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二级</w:t>
            </w:r>
          </w:p>
        </w:tc>
      </w:tr>
      <w:tr w:rsidR="00DC7E1E">
        <w:tc>
          <w:tcPr>
            <w:tcW w:w="2263"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产品存续规模（元）</w:t>
            </w:r>
          </w:p>
        </w:tc>
        <w:tc>
          <w:tcPr>
            <w:tcW w:w="6033"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288,406,694.00</w:t>
            </w:r>
          </w:p>
        </w:tc>
      </w:tr>
      <w:tr w:rsidR="00DC7E1E">
        <w:tc>
          <w:tcPr>
            <w:tcW w:w="2263"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业绩比较基准</w:t>
            </w:r>
          </w:p>
        </w:tc>
        <w:tc>
          <w:tcPr>
            <w:tcW w:w="6033"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4.1</w:t>
            </w:r>
            <w:r>
              <w:rPr>
                <w:rFonts w:ascii="宋体" w:eastAsia="宋体" w:hAnsi="宋体" w:cs="宋体" w:hint="eastAsia"/>
                <w:color w:val="000000"/>
                <w:kern w:val="0"/>
                <w:sz w:val="18"/>
                <w:szCs w:val="18"/>
                <w:lang w:bidi="ar"/>
              </w:rPr>
              <w:t>0</w:t>
            </w:r>
            <w:r>
              <w:rPr>
                <w:rFonts w:ascii="宋体" w:eastAsia="宋体" w:hAnsi="宋体" w:cs="宋体" w:hint="eastAsia"/>
                <w:color w:val="000000"/>
                <w:kern w:val="0"/>
                <w:sz w:val="18"/>
                <w:szCs w:val="18"/>
                <w:lang w:bidi="ar"/>
              </w:rPr>
              <w:t>%</w:t>
            </w:r>
          </w:p>
        </w:tc>
      </w:tr>
      <w:tr w:rsidR="00DC7E1E">
        <w:tc>
          <w:tcPr>
            <w:tcW w:w="2263"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产品成立日</w:t>
            </w:r>
          </w:p>
        </w:tc>
        <w:tc>
          <w:tcPr>
            <w:tcW w:w="6033"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2020</w:t>
            </w:r>
            <w:r>
              <w:rPr>
                <w:rFonts w:ascii="宋体" w:eastAsia="宋体" w:hAnsi="宋体" w:cs="宋体" w:hint="eastAsia"/>
                <w:color w:val="000000"/>
                <w:kern w:val="0"/>
                <w:sz w:val="18"/>
                <w:szCs w:val="18"/>
                <w:lang w:bidi="ar"/>
              </w:rPr>
              <w:t>年</w:t>
            </w:r>
            <w:r>
              <w:rPr>
                <w:rFonts w:ascii="宋体" w:eastAsia="宋体" w:hAnsi="宋体" w:cs="宋体" w:hint="eastAsia"/>
                <w:color w:val="000000"/>
                <w:kern w:val="0"/>
                <w:sz w:val="18"/>
                <w:szCs w:val="18"/>
                <w:lang w:bidi="ar"/>
              </w:rPr>
              <w:t>12</w:t>
            </w:r>
            <w:r>
              <w:rPr>
                <w:rFonts w:ascii="宋体" w:eastAsia="宋体" w:hAnsi="宋体" w:cs="宋体" w:hint="eastAsia"/>
                <w:color w:val="000000"/>
                <w:kern w:val="0"/>
                <w:sz w:val="18"/>
                <w:szCs w:val="18"/>
                <w:lang w:bidi="ar"/>
              </w:rPr>
              <w:t>月</w:t>
            </w:r>
            <w:r>
              <w:rPr>
                <w:rFonts w:ascii="宋体" w:eastAsia="宋体" w:hAnsi="宋体" w:cs="宋体" w:hint="eastAsia"/>
                <w:color w:val="000000"/>
                <w:kern w:val="0"/>
                <w:sz w:val="18"/>
                <w:szCs w:val="18"/>
                <w:lang w:bidi="ar"/>
              </w:rPr>
              <w:t>11</w:t>
            </w:r>
            <w:r>
              <w:rPr>
                <w:rFonts w:ascii="宋体" w:eastAsia="宋体" w:hAnsi="宋体" w:cs="宋体" w:hint="eastAsia"/>
                <w:color w:val="000000"/>
                <w:kern w:val="0"/>
                <w:sz w:val="18"/>
                <w:szCs w:val="18"/>
                <w:lang w:bidi="ar"/>
              </w:rPr>
              <w:t>日</w:t>
            </w:r>
          </w:p>
        </w:tc>
      </w:tr>
      <w:tr w:rsidR="00DC7E1E">
        <w:tc>
          <w:tcPr>
            <w:tcW w:w="2263"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产品到期日</w:t>
            </w:r>
          </w:p>
        </w:tc>
        <w:tc>
          <w:tcPr>
            <w:tcW w:w="6033"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长期</w:t>
            </w:r>
          </w:p>
        </w:tc>
      </w:tr>
      <w:tr w:rsidR="00DC7E1E">
        <w:tc>
          <w:tcPr>
            <w:tcW w:w="2263"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产品托管行</w:t>
            </w:r>
          </w:p>
        </w:tc>
        <w:tc>
          <w:tcPr>
            <w:tcW w:w="6033"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招商银行股份有限公司重庆分行</w:t>
            </w:r>
          </w:p>
        </w:tc>
      </w:tr>
      <w:tr w:rsidR="00DC7E1E">
        <w:tc>
          <w:tcPr>
            <w:tcW w:w="2263"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产品托管账户</w:t>
            </w:r>
          </w:p>
        </w:tc>
        <w:tc>
          <w:tcPr>
            <w:tcW w:w="6033"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123912301610528</w:t>
            </w:r>
          </w:p>
        </w:tc>
      </w:tr>
      <w:tr w:rsidR="00DC7E1E">
        <w:tc>
          <w:tcPr>
            <w:tcW w:w="2263"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投资合作机构</w:t>
            </w:r>
          </w:p>
        </w:tc>
        <w:tc>
          <w:tcPr>
            <w:tcW w:w="6033"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中国国际金融股份有限公司，华</w:t>
            </w:r>
            <w:proofErr w:type="gramStart"/>
            <w:r>
              <w:rPr>
                <w:rFonts w:ascii="宋体" w:eastAsia="宋体" w:hAnsi="宋体" w:cs="宋体" w:hint="eastAsia"/>
                <w:color w:val="000000"/>
                <w:kern w:val="0"/>
                <w:sz w:val="18"/>
                <w:szCs w:val="18"/>
                <w:lang w:bidi="ar"/>
              </w:rPr>
              <w:t>宝基金</w:t>
            </w:r>
            <w:proofErr w:type="gramEnd"/>
            <w:r>
              <w:rPr>
                <w:rFonts w:ascii="宋体" w:eastAsia="宋体" w:hAnsi="宋体" w:cs="宋体" w:hint="eastAsia"/>
                <w:color w:val="000000"/>
                <w:kern w:val="0"/>
                <w:sz w:val="18"/>
                <w:szCs w:val="18"/>
                <w:lang w:bidi="ar"/>
              </w:rPr>
              <w:t>管理有限公司</w:t>
            </w:r>
          </w:p>
        </w:tc>
      </w:tr>
      <w:tr w:rsidR="00DC7E1E">
        <w:tc>
          <w:tcPr>
            <w:tcW w:w="2263"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报告期</w:t>
            </w:r>
            <w:r>
              <w:rPr>
                <w:rFonts w:ascii="宋体" w:eastAsia="宋体" w:hAnsi="宋体" w:cs="宋体" w:hint="eastAsia"/>
                <w:color w:val="000000"/>
                <w:kern w:val="0"/>
                <w:sz w:val="18"/>
                <w:szCs w:val="18"/>
                <w:lang w:bidi="ar"/>
              </w:rPr>
              <w:t>末</w:t>
            </w:r>
          </w:p>
        </w:tc>
        <w:tc>
          <w:tcPr>
            <w:tcW w:w="6033"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2021</w:t>
            </w:r>
            <w:r>
              <w:rPr>
                <w:rFonts w:ascii="宋体" w:eastAsia="宋体" w:hAnsi="宋体" w:cs="宋体" w:hint="eastAsia"/>
                <w:color w:val="000000"/>
                <w:kern w:val="0"/>
                <w:sz w:val="18"/>
                <w:szCs w:val="18"/>
                <w:lang w:bidi="ar"/>
              </w:rPr>
              <w:t>年</w:t>
            </w:r>
            <w:r>
              <w:rPr>
                <w:rFonts w:ascii="宋体" w:eastAsia="宋体" w:hAnsi="宋体" w:cs="宋体" w:hint="eastAsia"/>
                <w:color w:val="000000"/>
                <w:kern w:val="0"/>
                <w:sz w:val="18"/>
                <w:szCs w:val="18"/>
                <w:lang w:bidi="ar"/>
              </w:rPr>
              <w:t>6</w:t>
            </w:r>
            <w:r>
              <w:rPr>
                <w:rFonts w:ascii="宋体" w:eastAsia="宋体" w:hAnsi="宋体" w:cs="宋体" w:hint="eastAsia"/>
                <w:color w:val="000000"/>
                <w:kern w:val="0"/>
                <w:sz w:val="18"/>
                <w:szCs w:val="18"/>
                <w:lang w:bidi="ar"/>
              </w:rPr>
              <w:t>月</w:t>
            </w:r>
            <w:r>
              <w:rPr>
                <w:rFonts w:ascii="宋体" w:eastAsia="宋体" w:hAnsi="宋体" w:cs="宋体" w:hint="eastAsia"/>
                <w:color w:val="000000"/>
                <w:kern w:val="0"/>
                <w:sz w:val="18"/>
                <w:szCs w:val="18"/>
                <w:lang w:bidi="ar"/>
              </w:rPr>
              <w:t>30</w:t>
            </w:r>
            <w:r>
              <w:rPr>
                <w:rFonts w:ascii="宋体" w:eastAsia="宋体" w:hAnsi="宋体" w:cs="宋体" w:hint="eastAsia"/>
                <w:color w:val="000000"/>
                <w:kern w:val="0"/>
                <w:sz w:val="18"/>
                <w:szCs w:val="18"/>
                <w:lang w:bidi="ar"/>
              </w:rPr>
              <w:t>日</w:t>
            </w:r>
          </w:p>
        </w:tc>
      </w:tr>
    </w:tbl>
    <w:p w:rsidR="00DC7E1E" w:rsidRDefault="00DC7E1E">
      <w:pPr>
        <w:spacing w:line="360" w:lineRule="auto"/>
        <w:rPr>
          <w:rFonts w:asciiTheme="minorEastAsia" w:hAnsiTheme="minorEastAsia"/>
          <w:b/>
          <w:szCs w:val="21"/>
        </w:rPr>
      </w:pPr>
    </w:p>
    <w:p w:rsidR="00DC7E1E" w:rsidRDefault="00D00268">
      <w:pPr>
        <w:spacing w:line="360" w:lineRule="auto"/>
        <w:rPr>
          <w:rFonts w:asciiTheme="minorEastAsia" w:hAnsiTheme="minorEastAsia"/>
          <w:szCs w:val="21"/>
        </w:rPr>
      </w:pPr>
      <w:r>
        <w:rPr>
          <w:rFonts w:asciiTheme="minorEastAsia" w:hAnsiTheme="minorEastAsia" w:hint="eastAsia"/>
          <w:szCs w:val="21"/>
        </w:rPr>
        <w:t>二、收益表现情况</w:t>
      </w:r>
    </w:p>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单位：人民币元</w:t>
      </w:r>
    </w:p>
    <w:tbl>
      <w:tblPr>
        <w:tblStyle w:val="a8"/>
        <w:tblW w:w="8296" w:type="dxa"/>
        <w:tblLayout w:type="fixed"/>
        <w:tblLook w:val="04A0" w:firstRow="1" w:lastRow="0" w:firstColumn="1" w:lastColumn="0" w:noHBand="0" w:noVBand="1"/>
      </w:tblPr>
      <w:tblGrid>
        <w:gridCol w:w="2830"/>
        <w:gridCol w:w="5466"/>
      </w:tblGrid>
      <w:tr w:rsidR="00DC7E1E">
        <w:tc>
          <w:tcPr>
            <w:tcW w:w="2830"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期末资产净值</w:t>
            </w:r>
          </w:p>
        </w:tc>
        <w:tc>
          <w:tcPr>
            <w:tcW w:w="5466"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295,466,226.15 </w:t>
            </w:r>
          </w:p>
        </w:tc>
      </w:tr>
      <w:tr w:rsidR="00DC7E1E">
        <w:tc>
          <w:tcPr>
            <w:tcW w:w="2830"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期末产品份额净值</w:t>
            </w:r>
          </w:p>
        </w:tc>
        <w:tc>
          <w:tcPr>
            <w:tcW w:w="5466"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1.0244 </w:t>
            </w:r>
          </w:p>
        </w:tc>
      </w:tr>
      <w:tr w:rsidR="00DC7E1E">
        <w:tc>
          <w:tcPr>
            <w:tcW w:w="2830"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期末产品份额累计净值</w:t>
            </w:r>
          </w:p>
        </w:tc>
        <w:tc>
          <w:tcPr>
            <w:tcW w:w="5466" w:type="dxa"/>
          </w:tcPr>
          <w:p w:rsidR="00DC7E1E" w:rsidRDefault="00D00268">
            <w:pPr>
              <w:widowControl/>
              <w:jc w:val="left"/>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1.0244 </w:t>
            </w:r>
          </w:p>
        </w:tc>
      </w:tr>
    </w:tbl>
    <w:p w:rsidR="00DC7E1E" w:rsidRDefault="00DC7E1E">
      <w:pPr>
        <w:spacing w:line="360" w:lineRule="auto"/>
        <w:rPr>
          <w:rFonts w:asciiTheme="minorEastAsia" w:hAnsiTheme="minorEastAsia"/>
          <w:szCs w:val="21"/>
        </w:rPr>
      </w:pPr>
    </w:p>
    <w:p w:rsidR="00DC7E1E" w:rsidRDefault="00D00268">
      <w:pPr>
        <w:spacing w:line="360" w:lineRule="auto"/>
        <w:rPr>
          <w:rFonts w:asciiTheme="minorEastAsia" w:hAnsiTheme="minorEastAsia"/>
          <w:szCs w:val="21"/>
        </w:rPr>
      </w:pPr>
      <w:r>
        <w:rPr>
          <w:rFonts w:asciiTheme="minorEastAsia" w:hAnsiTheme="minorEastAsia" w:hint="eastAsia"/>
          <w:szCs w:val="21"/>
        </w:rPr>
        <w:t>三</w:t>
      </w:r>
      <w:r>
        <w:rPr>
          <w:rFonts w:asciiTheme="minorEastAsia" w:hAnsiTheme="minorEastAsia"/>
          <w:szCs w:val="21"/>
        </w:rPr>
        <w:t>、</w:t>
      </w:r>
      <w:r>
        <w:rPr>
          <w:rFonts w:asciiTheme="minorEastAsia" w:hAnsiTheme="minorEastAsia" w:hint="eastAsia"/>
          <w:szCs w:val="21"/>
        </w:rPr>
        <w:t>投资组合</w:t>
      </w:r>
      <w:r>
        <w:rPr>
          <w:rFonts w:asciiTheme="minorEastAsia" w:hAnsiTheme="minorEastAsia"/>
          <w:szCs w:val="21"/>
        </w:rPr>
        <w:t>情况</w:t>
      </w:r>
    </w:p>
    <w:p w:rsidR="00DC7E1E" w:rsidRDefault="00D00268">
      <w:pPr>
        <w:rPr>
          <w:rFonts w:asciiTheme="minorEastAsia" w:hAnsiTheme="minorEastAsia"/>
          <w:szCs w:val="21"/>
        </w:rPr>
      </w:pPr>
      <w:r>
        <w:rPr>
          <w:rFonts w:asciiTheme="minorEastAsia" w:hAnsiTheme="minorEastAsia" w:hint="eastAsia"/>
          <w:szCs w:val="21"/>
        </w:rPr>
        <w:t>（一）期末投资组合</w:t>
      </w:r>
      <w:r>
        <w:rPr>
          <w:rFonts w:asciiTheme="minorEastAsia" w:hAnsiTheme="minorEastAsia"/>
          <w:szCs w:val="21"/>
        </w:rPr>
        <w:t>情况</w:t>
      </w:r>
    </w:p>
    <w:p w:rsidR="00DC7E1E" w:rsidRDefault="00D00268">
      <w:pPr>
        <w:widowControl/>
        <w:jc w:val="center"/>
        <w:textAlignment w:val="top"/>
        <w:rPr>
          <w:rFonts w:asciiTheme="minorEastAsia" w:hAnsiTheme="minorEastAsia"/>
          <w:szCs w:val="21"/>
          <w:highlight w:val="yellow"/>
        </w:rPr>
      </w:pP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单位：人民币元</w:t>
      </w:r>
    </w:p>
    <w:tbl>
      <w:tblPr>
        <w:tblW w:w="4998" w:type="pct"/>
        <w:tblCellMar>
          <w:left w:w="0" w:type="dxa"/>
          <w:right w:w="0" w:type="dxa"/>
        </w:tblCellMar>
        <w:tblLook w:val="04A0" w:firstRow="1" w:lastRow="0" w:firstColumn="1" w:lastColumn="0" w:noHBand="0" w:noVBand="1"/>
      </w:tblPr>
      <w:tblGrid>
        <w:gridCol w:w="1476"/>
        <w:gridCol w:w="1565"/>
        <w:gridCol w:w="1492"/>
        <w:gridCol w:w="1341"/>
        <w:gridCol w:w="1212"/>
        <w:gridCol w:w="1207"/>
      </w:tblGrid>
      <w:tr w:rsidR="00DC7E1E">
        <w:trPr>
          <w:trHeight w:val="312"/>
        </w:trPr>
        <w:tc>
          <w:tcPr>
            <w:tcW w:w="149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center"/>
              <w:rPr>
                <w:rFonts w:ascii="宋体" w:eastAsia="宋体" w:hAnsi="宋体" w:cs="宋体"/>
                <w:bCs/>
                <w:sz w:val="18"/>
                <w:szCs w:val="18"/>
              </w:rPr>
            </w:pPr>
            <w:r>
              <w:rPr>
                <w:rFonts w:ascii="宋体" w:eastAsia="宋体" w:hAnsi="宋体" w:cs="宋体" w:hint="eastAsia"/>
                <w:bCs/>
                <w:kern w:val="0"/>
                <w:sz w:val="18"/>
                <w:szCs w:val="18"/>
                <w:lang w:bidi="ar"/>
              </w:rPr>
              <w:t>序号</w:t>
            </w:r>
            <w:r>
              <w:rPr>
                <w:rFonts w:ascii="宋体" w:eastAsia="宋体" w:hAnsi="宋体" w:cs="宋体" w:hint="eastAsia"/>
                <w:bCs/>
                <w:kern w:val="0"/>
                <w:sz w:val="18"/>
                <w:szCs w:val="18"/>
                <w:lang w:bidi="ar"/>
              </w:rPr>
              <w:t xml:space="preserve"> </w:t>
            </w:r>
          </w:p>
        </w:tc>
        <w:tc>
          <w:tcPr>
            <w:tcW w:w="1565" w:type="dxa"/>
            <w:vMerge w:val="restart"/>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C7E1E" w:rsidRDefault="00D00268">
            <w:pPr>
              <w:widowControl/>
              <w:jc w:val="center"/>
              <w:textAlignment w:val="center"/>
              <w:rPr>
                <w:rFonts w:ascii="宋体" w:eastAsia="宋体" w:hAnsi="宋体" w:cs="宋体"/>
                <w:bCs/>
                <w:sz w:val="18"/>
                <w:szCs w:val="18"/>
              </w:rPr>
            </w:pPr>
            <w:r>
              <w:rPr>
                <w:rFonts w:ascii="宋体" w:eastAsia="宋体" w:hAnsi="宋体" w:cs="宋体" w:hint="eastAsia"/>
                <w:bCs/>
                <w:kern w:val="0"/>
                <w:sz w:val="18"/>
                <w:szCs w:val="18"/>
                <w:lang w:bidi="ar"/>
              </w:rPr>
              <w:t>项目</w:t>
            </w:r>
            <w:r>
              <w:rPr>
                <w:rFonts w:ascii="宋体" w:eastAsia="宋体" w:hAnsi="宋体" w:cs="宋体" w:hint="eastAsia"/>
                <w:bCs/>
                <w:kern w:val="0"/>
                <w:sz w:val="18"/>
                <w:szCs w:val="18"/>
                <w:lang w:bidi="ar"/>
              </w:rPr>
              <w:t xml:space="preserve"> </w:t>
            </w:r>
          </w:p>
        </w:tc>
        <w:tc>
          <w:tcPr>
            <w:tcW w:w="284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DC7E1E" w:rsidRDefault="00D00268">
            <w:pPr>
              <w:widowControl/>
              <w:jc w:val="center"/>
              <w:textAlignment w:val="top"/>
              <w:rPr>
                <w:rFonts w:ascii="宋体" w:eastAsia="宋体" w:hAnsi="宋体" w:cs="宋体"/>
                <w:bCs/>
                <w:sz w:val="18"/>
                <w:szCs w:val="18"/>
              </w:rPr>
            </w:pPr>
            <w:r>
              <w:rPr>
                <w:rFonts w:ascii="宋体" w:eastAsia="宋体" w:hAnsi="宋体" w:cs="宋体" w:hint="eastAsia"/>
                <w:bCs/>
                <w:kern w:val="0"/>
                <w:sz w:val="18"/>
                <w:szCs w:val="18"/>
                <w:lang w:bidi="ar"/>
              </w:rPr>
              <w:t>直接投资</w:t>
            </w:r>
            <w:r>
              <w:rPr>
                <w:rFonts w:ascii="宋体" w:eastAsia="宋体" w:hAnsi="宋体" w:cs="宋体" w:hint="eastAsia"/>
                <w:bCs/>
                <w:kern w:val="0"/>
                <w:sz w:val="18"/>
                <w:szCs w:val="18"/>
                <w:lang w:bidi="ar"/>
              </w:rPr>
              <w:t xml:space="preserve"> </w:t>
            </w:r>
          </w:p>
        </w:tc>
        <w:tc>
          <w:tcPr>
            <w:tcW w:w="242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DC7E1E" w:rsidRDefault="00D00268">
            <w:pPr>
              <w:widowControl/>
              <w:jc w:val="center"/>
              <w:textAlignment w:val="top"/>
              <w:rPr>
                <w:rFonts w:ascii="宋体" w:eastAsia="宋体" w:hAnsi="宋体" w:cs="宋体"/>
                <w:bCs/>
                <w:sz w:val="18"/>
                <w:szCs w:val="18"/>
              </w:rPr>
            </w:pPr>
            <w:r>
              <w:rPr>
                <w:rFonts w:ascii="宋体" w:eastAsia="宋体" w:hAnsi="宋体" w:cs="宋体" w:hint="eastAsia"/>
                <w:bCs/>
                <w:kern w:val="0"/>
                <w:sz w:val="18"/>
                <w:szCs w:val="18"/>
                <w:lang w:bidi="ar"/>
              </w:rPr>
              <w:t>间接投资</w:t>
            </w:r>
            <w:r>
              <w:rPr>
                <w:rFonts w:ascii="宋体" w:eastAsia="宋体" w:hAnsi="宋体" w:cs="宋体" w:hint="eastAsia"/>
                <w:bCs/>
                <w:kern w:val="0"/>
                <w:sz w:val="18"/>
                <w:szCs w:val="18"/>
                <w:lang w:bidi="ar"/>
              </w:rPr>
              <w:t xml:space="preserve"> </w:t>
            </w:r>
          </w:p>
        </w:tc>
      </w:tr>
      <w:tr w:rsidR="00DC7E1E">
        <w:trPr>
          <w:trHeight w:val="312"/>
        </w:trPr>
        <w:tc>
          <w:tcPr>
            <w:tcW w:w="14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C7E1E">
            <w:pPr>
              <w:jc w:val="center"/>
              <w:rPr>
                <w:rFonts w:ascii="宋体" w:eastAsia="宋体" w:hAnsi="宋体" w:cs="宋体"/>
                <w:bCs/>
                <w:sz w:val="18"/>
                <w:szCs w:val="18"/>
              </w:rPr>
            </w:pPr>
          </w:p>
        </w:tc>
        <w:tc>
          <w:tcPr>
            <w:tcW w:w="1565"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C7E1E" w:rsidRDefault="00DC7E1E">
            <w:pPr>
              <w:jc w:val="center"/>
              <w:rPr>
                <w:rFonts w:ascii="宋体" w:eastAsia="宋体" w:hAnsi="宋体" w:cs="宋体"/>
                <w:bCs/>
                <w:sz w:val="18"/>
                <w:szCs w:val="18"/>
              </w:rPr>
            </w:pPr>
          </w:p>
        </w:tc>
        <w:tc>
          <w:tcPr>
            <w:tcW w:w="28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DC7E1E" w:rsidRDefault="00DC7E1E">
            <w:pPr>
              <w:jc w:val="center"/>
              <w:rPr>
                <w:rFonts w:ascii="宋体" w:eastAsia="宋体" w:hAnsi="宋体" w:cs="宋体"/>
                <w:bCs/>
                <w:sz w:val="18"/>
                <w:szCs w:val="18"/>
              </w:rPr>
            </w:pPr>
          </w:p>
        </w:tc>
        <w:tc>
          <w:tcPr>
            <w:tcW w:w="242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DC7E1E" w:rsidRDefault="00DC7E1E">
            <w:pPr>
              <w:jc w:val="center"/>
              <w:rPr>
                <w:rFonts w:ascii="宋体" w:eastAsia="宋体" w:hAnsi="宋体" w:cs="宋体"/>
                <w:bCs/>
                <w:sz w:val="18"/>
                <w:szCs w:val="18"/>
              </w:rPr>
            </w:pPr>
          </w:p>
        </w:tc>
      </w:tr>
      <w:tr w:rsidR="00DC7E1E">
        <w:trPr>
          <w:trHeight w:val="626"/>
        </w:trPr>
        <w:tc>
          <w:tcPr>
            <w:tcW w:w="14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C7E1E">
            <w:pPr>
              <w:jc w:val="center"/>
              <w:rPr>
                <w:rFonts w:ascii="宋体" w:eastAsia="宋体" w:hAnsi="宋体" w:cs="宋体"/>
                <w:bCs/>
                <w:sz w:val="18"/>
                <w:szCs w:val="18"/>
              </w:rPr>
            </w:pPr>
          </w:p>
        </w:tc>
        <w:tc>
          <w:tcPr>
            <w:tcW w:w="1565" w:type="dxa"/>
            <w:vMerge/>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C7E1E" w:rsidRDefault="00DC7E1E">
            <w:pPr>
              <w:jc w:val="center"/>
              <w:rPr>
                <w:rFonts w:ascii="宋体" w:eastAsia="宋体" w:hAnsi="宋体" w:cs="宋体"/>
                <w:bCs/>
                <w:sz w:val="18"/>
                <w:szCs w:val="18"/>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DC7E1E" w:rsidRDefault="00D00268">
            <w:pPr>
              <w:widowControl/>
              <w:jc w:val="center"/>
              <w:textAlignment w:val="top"/>
              <w:rPr>
                <w:rFonts w:ascii="宋体" w:eastAsia="宋体" w:hAnsi="宋体" w:cs="宋体"/>
                <w:bCs/>
                <w:sz w:val="18"/>
                <w:szCs w:val="18"/>
              </w:rPr>
            </w:pPr>
            <w:r>
              <w:rPr>
                <w:rFonts w:ascii="宋体" w:eastAsia="宋体" w:hAnsi="宋体" w:cs="宋体" w:hint="eastAsia"/>
                <w:bCs/>
                <w:kern w:val="0"/>
                <w:sz w:val="18"/>
                <w:szCs w:val="18"/>
                <w:lang w:bidi="ar"/>
              </w:rPr>
              <w:t>持有金额</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DC7E1E" w:rsidRDefault="00D00268">
            <w:pPr>
              <w:widowControl/>
              <w:jc w:val="left"/>
              <w:textAlignment w:val="top"/>
              <w:rPr>
                <w:rFonts w:ascii="宋体" w:eastAsia="宋体" w:hAnsi="宋体" w:cs="宋体"/>
                <w:bCs/>
                <w:sz w:val="18"/>
                <w:szCs w:val="18"/>
              </w:rPr>
            </w:pPr>
            <w:r>
              <w:rPr>
                <w:rFonts w:ascii="宋体" w:eastAsia="宋体" w:hAnsi="宋体" w:cs="宋体" w:hint="eastAsia"/>
                <w:bCs/>
                <w:kern w:val="0"/>
                <w:sz w:val="18"/>
                <w:szCs w:val="18"/>
                <w:lang w:bidi="ar"/>
              </w:rPr>
              <w:t>占产品总资产的比例（</w:t>
            </w:r>
            <w:r>
              <w:rPr>
                <w:rFonts w:ascii="宋体" w:eastAsia="宋体" w:hAnsi="宋体" w:cs="宋体" w:hint="eastAsia"/>
                <w:bCs/>
                <w:kern w:val="0"/>
                <w:sz w:val="18"/>
                <w:szCs w:val="18"/>
                <w:lang w:bidi="ar"/>
              </w:rPr>
              <w:t>%</w:t>
            </w:r>
            <w:r>
              <w:rPr>
                <w:rFonts w:ascii="宋体" w:eastAsia="宋体" w:hAnsi="宋体" w:cs="宋体" w:hint="eastAsia"/>
                <w:bCs/>
                <w:kern w:val="0"/>
                <w:sz w:val="18"/>
                <w:szCs w:val="18"/>
                <w:lang w:bidi="ar"/>
              </w:rPr>
              <w:t>）</w:t>
            </w:r>
            <w:r>
              <w:rPr>
                <w:rFonts w:ascii="宋体" w:eastAsia="宋体" w:hAnsi="宋体" w:cs="宋体" w:hint="eastAsia"/>
                <w:bCs/>
                <w:kern w:val="0"/>
                <w:sz w:val="18"/>
                <w:szCs w:val="18"/>
                <w:lang w:bidi="ar"/>
              </w:rPr>
              <w:t xml:space="preserve"> </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DC7E1E" w:rsidRDefault="00D00268">
            <w:pPr>
              <w:widowControl/>
              <w:jc w:val="center"/>
              <w:textAlignment w:val="top"/>
              <w:rPr>
                <w:rFonts w:ascii="宋体" w:eastAsia="宋体" w:hAnsi="宋体" w:cs="宋体"/>
                <w:bCs/>
                <w:sz w:val="18"/>
                <w:szCs w:val="18"/>
              </w:rPr>
            </w:pPr>
            <w:r>
              <w:rPr>
                <w:rFonts w:ascii="宋体" w:eastAsia="宋体" w:hAnsi="宋体" w:cs="宋体" w:hint="eastAsia"/>
                <w:bCs/>
                <w:kern w:val="0"/>
                <w:sz w:val="18"/>
                <w:szCs w:val="18"/>
                <w:lang w:bidi="ar"/>
              </w:rPr>
              <w:t>持有金额</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DC7E1E" w:rsidRDefault="00D00268">
            <w:pPr>
              <w:widowControl/>
              <w:jc w:val="left"/>
              <w:textAlignment w:val="top"/>
              <w:rPr>
                <w:rFonts w:ascii="宋体" w:eastAsia="宋体" w:hAnsi="宋体" w:cs="宋体"/>
                <w:bCs/>
                <w:sz w:val="18"/>
                <w:szCs w:val="18"/>
              </w:rPr>
            </w:pPr>
            <w:r>
              <w:rPr>
                <w:rFonts w:ascii="宋体" w:eastAsia="宋体" w:hAnsi="宋体" w:cs="宋体" w:hint="eastAsia"/>
                <w:bCs/>
                <w:kern w:val="0"/>
                <w:sz w:val="18"/>
                <w:szCs w:val="18"/>
                <w:lang w:bidi="ar"/>
              </w:rPr>
              <w:t>占产品总资产的比例（</w:t>
            </w:r>
            <w:r>
              <w:rPr>
                <w:rFonts w:ascii="宋体" w:eastAsia="宋体" w:hAnsi="宋体" w:cs="宋体" w:hint="eastAsia"/>
                <w:bCs/>
                <w:kern w:val="0"/>
                <w:sz w:val="18"/>
                <w:szCs w:val="18"/>
                <w:lang w:bidi="ar"/>
              </w:rPr>
              <w:t>%</w:t>
            </w:r>
            <w:r>
              <w:rPr>
                <w:rFonts w:ascii="宋体" w:eastAsia="宋体" w:hAnsi="宋体" w:cs="宋体" w:hint="eastAsia"/>
                <w:bCs/>
                <w:kern w:val="0"/>
                <w:sz w:val="18"/>
                <w:szCs w:val="18"/>
                <w:lang w:bidi="ar"/>
              </w:rPr>
              <w:t>）</w:t>
            </w:r>
            <w:r>
              <w:rPr>
                <w:rFonts w:ascii="宋体" w:eastAsia="宋体" w:hAnsi="宋体" w:cs="宋体" w:hint="eastAsia"/>
                <w:bCs/>
                <w:kern w:val="0"/>
                <w:sz w:val="18"/>
                <w:szCs w:val="18"/>
                <w:lang w:bidi="ar"/>
              </w:rPr>
              <w:t xml:space="preserve"> </w:t>
            </w:r>
          </w:p>
        </w:tc>
      </w:tr>
      <w:tr w:rsidR="00DC7E1E">
        <w:trPr>
          <w:trHeight w:val="400"/>
        </w:trPr>
        <w:tc>
          <w:tcPr>
            <w:tcW w:w="149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固定收益类</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222,105,125.60</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74.88</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72,515,431.02</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24.45</w:t>
            </w:r>
          </w:p>
        </w:tc>
      </w:tr>
      <w:tr w:rsidR="00DC7E1E">
        <w:trPr>
          <w:trHeight w:val="500"/>
        </w:trPr>
        <w:tc>
          <w:tcPr>
            <w:tcW w:w="14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C7E1E">
            <w:pPr>
              <w:jc w:val="center"/>
              <w:rPr>
                <w:rFonts w:ascii="宋体" w:eastAsia="宋体" w:hAnsi="宋体" w:cs="宋体"/>
                <w:color w:val="000000"/>
                <w:sz w:val="18"/>
                <w:szCs w:val="18"/>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ind w:firstLineChars="100" w:firstLine="180"/>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其中：债券</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146,712,345.07</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49.46</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72,515,431.02</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24.45</w:t>
            </w:r>
          </w:p>
        </w:tc>
      </w:tr>
      <w:tr w:rsidR="00DC7E1E">
        <w:trPr>
          <w:trHeight w:val="400"/>
        </w:trPr>
        <w:tc>
          <w:tcPr>
            <w:tcW w:w="14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C7E1E">
            <w:pPr>
              <w:jc w:val="center"/>
              <w:rPr>
                <w:rFonts w:ascii="宋体" w:eastAsia="宋体" w:hAnsi="宋体" w:cs="宋体"/>
                <w:color w:val="000000"/>
                <w:sz w:val="18"/>
                <w:szCs w:val="18"/>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ind w:firstLineChars="100" w:firstLine="180"/>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一般债权</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bCs/>
                <w:kern w:val="0"/>
                <w:sz w:val="18"/>
                <w:szCs w:val="18"/>
                <w:lang w:bidi="ar"/>
              </w:rPr>
              <w:t>51,306,250.00</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17.30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r>
      <w:tr w:rsidR="00DC7E1E">
        <w:trPr>
          <w:trHeight w:val="400"/>
        </w:trPr>
        <w:tc>
          <w:tcPr>
            <w:tcW w:w="14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C7E1E">
            <w:pPr>
              <w:jc w:val="center"/>
              <w:rPr>
                <w:rFonts w:ascii="宋体" w:eastAsia="宋体" w:hAnsi="宋体" w:cs="宋体"/>
                <w:color w:val="000000"/>
                <w:sz w:val="18"/>
                <w:szCs w:val="18"/>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ind w:firstLineChars="100" w:firstLine="180"/>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资产支持证券</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r>
      <w:tr w:rsidR="00DC7E1E">
        <w:trPr>
          <w:trHeight w:val="400"/>
        </w:trPr>
        <w:tc>
          <w:tcPr>
            <w:tcW w:w="14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C7E1E">
            <w:pPr>
              <w:jc w:val="center"/>
              <w:rPr>
                <w:rFonts w:ascii="宋体" w:eastAsia="宋体" w:hAnsi="宋体" w:cs="宋体"/>
                <w:color w:val="000000"/>
                <w:sz w:val="18"/>
                <w:szCs w:val="18"/>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ind w:firstLineChars="100" w:firstLine="180"/>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现金及货币工具</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bCs/>
                <w:kern w:val="0"/>
                <w:sz w:val="18"/>
                <w:szCs w:val="18"/>
                <w:lang w:bidi="ar"/>
              </w:rPr>
              <w:t>24,086,530.53</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8.12</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r>
      <w:tr w:rsidR="00DC7E1E">
        <w:trPr>
          <w:trHeight w:val="400"/>
        </w:trPr>
        <w:tc>
          <w:tcPr>
            <w:tcW w:w="1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2</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权益类</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r>
      <w:tr w:rsidR="00DC7E1E">
        <w:trPr>
          <w:trHeight w:val="400"/>
        </w:trPr>
        <w:tc>
          <w:tcPr>
            <w:tcW w:w="1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商品及金融衍生类</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r>
      <w:tr w:rsidR="00DC7E1E">
        <w:trPr>
          <w:trHeight w:val="400"/>
        </w:trPr>
        <w:tc>
          <w:tcPr>
            <w:tcW w:w="1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混合类</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bCs/>
                <w:kern w:val="0"/>
                <w:sz w:val="18"/>
                <w:szCs w:val="18"/>
                <w:lang w:bidi="ar"/>
              </w:rPr>
              <w:t>2,004,800.00</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0.67</w:t>
            </w:r>
          </w:p>
        </w:tc>
      </w:tr>
      <w:tr w:rsidR="00DC7E1E">
        <w:trPr>
          <w:trHeight w:val="400"/>
        </w:trPr>
        <w:tc>
          <w:tcPr>
            <w:tcW w:w="1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C7E1E">
            <w:pPr>
              <w:jc w:val="center"/>
              <w:rPr>
                <w:rFonts w:ascii="宋体" w:eastAsia="宋体" w:hAnsi="宋体" w:cs="宋体"/>
                <w:color w:val="000000"/>
                <w:sz w:val="18"/>
                <w:szCs w:val="18"/>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合计</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222,105,125.60</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74.88</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74,520,231.02</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bCs/>
                <w:kern w:val="0"/>
                <w:sz w:val="18"/>
                <w:szCs w:val="18"/>
                <w:lang w:bidi="ar"/>
              </w:rPr>
            </w:pPr>
            <w:r>
              <w:rPr>
                <w:rFonts w:ascii="宋体" w:eastAsia="宋体" w:hAnsi="宋体" w:cs="宋体" w:hint="eastAsia"/>
                <w:bCs/>
                <w:kern w:val="0"/>
                <w:sz w:val="18"/>
                <w:szCs w:val="18"/>
                <w:lang w:bidi="ar"/>
              </w:rPr>
              <w:t>25.12</w:t>
            </w:r>
          </w:p>
        </w:tc>
      </w:tr>
    </w:tbl>
    <w:p w:rsidR="00DC7E1E" w:rsidRDefault="00DC7E1E">
      <w:pPr>
        <w:rPr>
          <w:rFonts w:asciiTheme="minorEastAsia" w:hAnsiTheme="minorEastAsia"/>
          <w:szCs w:val="21"/>
          <w:highlight w:val="yellow"/>
        </w:rPr>
      </w:pPr>
    </w:p>
    <w:p w:rsidR="00DC7E1E" w:rsidRDefault="00D00268">
      <w:pPr>
        <w:rPr>
          <w:rFonts w:asciiTheme="minorEastAsia" w:hAnsiTheme="minorEastAsia"/>
          <w:szCs w:val="21"/>
        </w:rPr>
      </w:pPr>
      <w:r>
        <w:rPr>
          <w:rFonts w:asciiTheme="minorEastAsia" w:hAnsiTheme="minorEastAsia" w:hint="eastAsia"/>
          <w:sz w:val="18"/>
          <w:szCs w:val="18"/>
        </w:rPr>
        <w:t>备注：上述资产金额为该期产品资产市值</w:t>
      </w:r>
    </w:p>
    <w:p w:rsidR="00DC7E1E" w:rsidRDefault="00DC7E1E">
      <w:pPr>
        <w:rPr>
          <w:rFonts w:asciiTheme="minorEastAsia" w:hAnsiTheme="minorEastAsia"/>
          <w:szCs w:val="21"/>
        </w:rPr>
      </w:pPr>
    </w:p>
    <w:p w:rsidR="00DC7E1E" w:rsidRDefault="00D00268">
      <w:pPr>
        <w:rPr>
          <w:rFonts w:asciiTheme="minorEastAsia" w:hAnsiTheme="minorEastAsia"/>
          <w:szCs w:val="21"/>
        </w:rPr>
      </w:pPr>
      <w:r>
        <w:rPr>
          <w:rFonts w:asciiTheme="minorEastAsia" w:hAnsiTheme="minorEastAsia" w:hint="eastAsia"/>
          <w:szCs w:val="21"/>
        </w:rPr>
        <w:t>（二）期末投资组合杠杆情况</w:t>
      </w:r>
    </w:p>
    <w:tbl>
      <w:tblPr>
        <w:tblStyle w:val="a8"/>
        <w:tblW w:w="8294" w:type="dxa"/>
        <w:tblLayout w:type="fixed"/>
        <w:tblLook w:val="04A0" w:firstRow="1" w:lastRow="0" w:firstColumn="1" w:lastColumn="0" w:noHBand="0" w:noVBand="1"/>
      </w:tblPr>
      <w:tblGrid>
        <w:gridCol w:w="703"/>
        <w:gridCol w:w="2835"/>
        <w:gridCol w:w="1841"/>
        <w:gridCol w:w="2915"/>
      </w:tblGrid>
      <w:tr w:rsidR="00DC7E1E">
        <w:tc>
          <w:tcPr>
            <w:tcW w:w="703"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序号</w:t>
            </w:r>
          </w:p>
        </w:tc>
        <w:tc>
          <w:tcPr>
            <w:tcW w:w="2835"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投资资产种类</w:t>
            </w:r>
          </w:p>
        </w:tc>
        <w:tc>
          <w:tcPr>
            <w:tcW w:w="1841"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持有金额（元）</w:t>
            </w:r>
          </w:p>
        </w:tc>
        <w:tc>
          <w:tcPr>
            <w:tcW w:w="2915"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投资组合杠杆率（</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w:t>
            </w:r>
          </w:p>
        </w:tc>
      </w:tr>
      <w:tr w:rsidR="00DC7E1E">
        <w:tc>
          <w:tcPr>
            <w:tcW w:w="703" w:type="dxa"/>
          </w:tcPr>
          <w:p w:rsidR="00DC7E1E" w:rsidRDefault="00D00268">
            <w:pPr>
              <w:jc w:val="center"/>
            </w:pPr>
            <w:r>
              <w:rPr>
                <w:rFonts w:ascii="宋体" w:eastAsia="宋体" w:hAnsi="宋体" w:cs="宋体"/>
                <w:color w:val="000000"/>
                <w:kern w:val="0"/>
                <w:sz w:val="18"/>
                <w:szCs w:val="18"/>
                <w:lang w:bidi="ar"/>
              </w:rPr>
              <w:t>1</w:t>
            </w:r>
          </w:p>
        </w:tc>
        <w:tc>
          <w:tcPr>
            <w:tcW w:w="2835" w:type="dxa"/>
          </w:tcPr>
          <w:p w:rsidR="00DC7E1E" w:rsidRDefault="00D00268">
            <w:pPr>
              <w:jc w:val="center"/>
            </w:pPr>
            <w:r w:rsidRPr="006440FA">
              <w:rPr>
                <w:rFonts w:ascii="宋体" w:eastAsia="宋体" w:hAnsi="宋体" w:cs="宋体" w:hint="eastAsia"/>
                <w:color w:val="000000"/>
                <w:kern w:val="0"/>
                <w:sz w:val="18"/>
                <w:szCs w:val="18"/>
                <w:lang w:bidi="ar"/>
              </w:rPr>
              <w:t>混合类资产管理计划</w:t>
            </w:r>
          </w:p>
        </w:tc>
        <w:tc>
          <w:tcPr>
            <w:tcW w:w="1841" w:type="dxa"/>
          </w:tcPr>
          <w:p w:rsidR="00DC7E1E" w:rsidRPr="00D00268" w:rsidRDefault="00D00268" w:rsidP="00D00268">
            <w:pPr>
              <w:jc w:val="center"/>
              <w:rPr>
                <w:rFonts w:ascii="宋体" w:eastAsia="宋体" w:hAnsi="宋体" w:cs="宋体" w:hint="eastAsia"/>
                <w:color w:val="000000"/>
                <w:kern w:val="0"/>
                <w:sz w:val="18"/>
                <w:szCs w:val="18"/>
                <w:lang w:bidi="ar"/>
              </w:rPr>
            </w:pPr>
            <w:r w:rsidRPr="00D00268">
              <w:rPr>
                <w:rFonts w:ascii="宋体" w:eastAsia="宋体" w:hAnsi="宋体" w:cs="宋体" w:hint="eastAsia"/>
                <w:color w:val="000000"/>
                <w:kern w:val="0"/>
                <w:sz w:val="18"/>
                <w:szCs w:val="18"/>
                <w:lang w:bidi="ar"/>
              </w:rPr>
              <w:t xml:space="preserve">1,880,673.75 </w:t>
            </w:r>
          </w:p>
        </w:tc>
        <w:tc>
          <w:tcPr>
            <w:tcW w:w="2915" w:type="dxa"/>
          </w:tcPr>
          <w:p w:rsidR="00DC7E1E" w:rsidRPr="00D00268" w:rsidRDefault="00D00268" w:rsidP="00D00268">
            <w:pPr>
              <w:jc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101.03</w:t>
            </w:r>
            <w:bookmarkStart w:id="1" w:name="_GoBack"/>
            <w:bookmarkEnd w:id="1"/>
          </w:p>
        </w:tc>
      </w:tr>
    </w:tbl>
    <w:p w:rsidR="00DC7E1E" w:rsidRDefault="00DC7E1E">
      <w:pPr>
        <w:rPr>
          <w:rFonts w:asciiTheme="minorEastAsia" w:hAnsiTheme="minorEastAsia"/>
          <w:szCs w:val="21"/>
        </w:rPr>
      </w:pPr>
    </w:p>
    <w:p w:rsidR="00DC7E1E" w:rsidRDefault="00D00268">
      <w:pPr>
        <w:rPr>
          <w:rFonts w:asciiTheme="minorEastAsia" w:hAnsiTheme="minorEastAsia"/>
          <w:szCs w:val="21"/>
        </w:rPr>
      </w:pPr>
      <w:r>
        <w:rPr>
          <w:rFonts w:asciiTheme="minorEastAsia" w:hAnsiTheme="minorEastAsia" w:hint="eastAsia"/>
          <w:szCs w:val="21"/>
        </w:rPr>
        <w:t>（三）期末投资组合持仓前十大资产情况</w:t>
      </w:r>
    </w:p>
    <w:tbl>
      <w:tblPr>
        <w:tblStyle w:val="a8"/>
        <w:tblW w:w="8293" w:type="dxa"/>
        <w:tblLayout w:type="fixed"/>
        <w:tblLook w:val="04A0" w:firstRow="1" w:lastRow="0" w:firstColumn="1" w:lastColumn="0" w:noHBand="0" w:noVBand="1"/>
      </w:tblPr>
      <w:tblGrid>
        <w:gridCol w:w="639"/>
        <w:gridCol w:w="3251"/>
        <w:gridCol w:w="2781"/>
        <w:gridCol w:w="1622"/>
      </w:tblGrid>
      <w:tr w:rsidR="00DC7E1E">
        <w:tc>
          <w:tcPr>
            <w:tcW w:w="639"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序号</w:t>
            </w:r>
          </w:p>
        </w:tc>
        <w:tc>
          <w:tcPr>
            <w:tcW w:w="3251"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资产名称</w:t>
            </w:r>
          </w:p>
        </w:tc>
        <w:tc>
          <w:tcPr>
            <w:tcW w:w="2781"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持有金额（元）</w:t>
            </w:r>
          </w:p>
        </w:tc>
        <w:tc>
          <w:tcPr>
            <w:tcW w:w="1622"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占比（</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w:t>
            </w:r>
          </w:p>
        </w:tc>
      </w:tr>
      <w:tr w:rsidR="00DC7E1E">
        <w:tc>
          <w:tcPr>
            <w:tcW w:w="639"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3251"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中</w:t>
            </w:r>
            <w:proofErr w:type="gramStart"/>
            <w:r>
              <w:rPr>
                <w:rFonts w:ascii="宋体" w:eastAsia="宋体" w:hAnsi="宋体" w:cs="宋体" w:hint="eastAsia"/>
                <w:color w:val="000000"/>
                <w:kern w:val="0"/>
                <w:sz w:val="18"/>
                <w:szCs w:val="18"/>
                <w:lang w:bidi="ar"/>
              </w:rPr>
              <w:t>金锦嘉</w:t>
            </w:r>
            <w:r>
              <w:rPr>
                <w:rFonts w:ascii="宋体" w:eastAsia="宋体" w:hAnsi="宋体" w:cs="宋体" w:hint="eastAsia"/>
                <w:color w:val="000000"/>
                <w:kern w:val="0"/>
                <w:sz w:val="18"/>
                <w:szCs w:val="18"/>
                <w:lang w:bidi="ar"/>
              </w:rPr>
              <w:t>1</w:t>
            </w:r>
            <w:r>
              <w:rPr>
                <w:rFonts w:ascii="宋体" w:eastAsia="宋体" w:hAnsi="宋体" w:cs="宋体" w:hint="eastAsia"/>
                <w:color w:val="000000"/>
                <w:kern w:val="0"/>
                <w:sz w:val="18"/>
                <w:szCs w:val="18"/>
                <w:lang w:bidi="ar"/>
              </w:rPr>
              <w:t>号</w:t>
            </w:r>
            <w:proofErr w:type="gramEnd"/>
            <w:r>
              <w:rPr>
                <w:rFonts w:ascii="宋体" w:eastAsia="宋体" w:hAnsi="宋体" w:cs="宋体" w:hint="eastAsia"/>
                <w:color w:val="000000"/>
                <w:kern w:val="0"/>
                <w:sz w:val="18"/>
                <w:szCs w:val="18"/>
                <w:lang w:bidi="ar"/>
              </w:rPr>
              <w:t>集合资产管理计划</w:t>
            </w:r>
          </w:p>
        </w:tc>
        <w:tc>
          <w:tcPr>
            <w:tcW w:w="2781"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72,109,991.02</w:t>
            </w:r>
          </w:p>
        </w:tc>
        <w:tc>
          <w:tcPr>
            <w:tcW w:w="1622"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24.31</w:t>
            </w:r>
          </w:p>
        </w:tc>
      </w:tr>
      <w:tr w:rsidR="00DC7E1E">
        <w:tc>
          <w:tcPr>
            <w:tcW w:w="639"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w:t>
            </w:r>
          </w:p>
        </w:tc>
        <w:tc>
          <w:tcPr>
            <w:tcW w:w="3251"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九鼎租赁</w:t>
            </w:r>
            <w:r>
              <w:rPr>
                <w:rFonts w:ascii="宋体" w:eastAsia="宋体" w:hAnsi="宋体" w:cs="宋体" w:hint="eastAsia"/>
                <w:color w:val="000000"/>
                <w:kern w:val="0"/>
                <w:sz w:val="18"/>
                <w:szCs w:val="18"/>
                <w:lang w:bidi="ar"/>
              </w:rPr>
              <w:t>同业借款</w:t>
            </w:r>
          </w:p>
        </w:tc>
        <w:tc>
          <w:tcPr>
            <w:tcW w:w="2781"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51,306,250.00</w:t>
            </w:r>
          </w:p>
        </w:tc>
        <w:tc>
          <w:tcPr>
            <w:tcW w:w="1622"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17.30</w:t>
            </w:r>
          </w:p>
        </w:tc>
      </w:tr>
      <w:tr w:rsidR="00DC7E1E">
        <w:tc>
          <w:tcPr>
            <w:tcW w:w="639"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w:t>
            </w:r>
          </w:p>
        </w:tc>
        <w:tc>
          <w:tcPr>
            <w:tcW w:w="3251"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w:t>
            </w:r>
            <w:r>
              <w:rPr>
                <w:rFonts w:ascii="宋体" w:eastAsia="宋体" w:hAnsi="宋体" w:cs="宋体" w:hint="eastAsia"/>
                <w:color w:val="000000"/>
                <w:kern w:val="0"/>
                <w:sz w:val="18"/>
                <w:szCs w:val="18"/>
                <w:lang w:bidi="ar"/>
              </w:rPr>
              <w:t>通经</w:t>
            </w:r>
            <w:r>
              <w:rPr>
                <w:rFonts w:ascii="宋体" w:eastAsia="宋体" w:hAnsi="宋体" w:cs="宋体" w:hint="eastAsia"/>
                <w:color w:val="000000"/>
                <w:kern w:val="0"/>
                <w:sz w:val="18"/>
                <w:szCs w:val="18"/>
                <w:lang w:bidi="ar"/>
              </w:rPr>
              <w:t>01</w:t>
            </w:r>
          </w:p>
        </w:tc>
        <w:tc>
          <w:tcPr>
            <w:tcW w:w="2781"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26,614,027.40</w:t>
            </w:r>
          </w:p>
        </w:tc>
        <w:tc>
          <w:tcPr>
            <w:tcW w:w="1622"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8.97</w:t>
            </w:r>
          </w:p>
        </w:tc>
      </w:tr>
      <w:tr w:rsidR="00DC7E1E">
        <w:tc>
          <w:tcPr>
            <w:tcW w:w="639"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w:t>
            </w:r>
          </w:p>
        </w:tc>
        <w:tc>
          <w:tcPr>
            <w:tcW w:w="3251"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17</w:t>
            </w:r>
            <w:r>
              <w:rPr>
                <w:rFonts w:ascii="宋体" w:eastAsia="宋体" w:hAnsi="宋体" w:cs="宋体" w:hint="eastAsia"/>
                <w:color w:val="000000"/>
                <w:kern w:val="0"/>
                <w:sz w:val="18"/>
                <w:szCs w:val="18"/>
                <w:lang w:bidi="ar"/>
              </w:rPr>
              <w:t>长寿</w:t>
            </w:r>
            <w:r>
              <w:rPr>
                <w:rFonts w:ascii="宋体" w:eastAsia="宋体" w:hAnsi="宋体" w:cs="宋体" w:hint="eastAsia"/>
                <w:color w:val="000000"/>
                <w:kern w:val="0"/>
                <w:sz w:val="18"/>
                <w:szCs w:val="18"/>
                <w:lang w:bidi="ar"/>
              </w:rPr>
              <w:t>01</w:t>
            </w:r>
          </w:p>
        </w:tc>
        <w:tc>
          <w:tcPr>
            <w:tcW w:w="2781"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25,685,750.00</w:t>
            </w:r>
          </w:p>
        </w:tc>
        <w:tc>
          <w:tcPr>
            <w:tcW w:w="1622"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8.66</w:t>
            </w:r>
          </w:p>
        </w:tc>
      </w:tr>
      <w:tr w:rsidR="00DC7E1E">
        <w:tc>
          <w:tcPr>
            <w:tcW w:w="639"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5</w:t>
            </w:r>
          </w:p>
        </w:tc>
        <w:tc>
          <w:tcPr>
            <w:tcW w:w="3251"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17</w:t>
            </w:r>
            <w:proofErr w:type="gramStart"/>
            <w:r>
              <w:rPr>
                <w:rFonts w:ascii="宋体" w:eastAsia="宋体" w:hAnsi="宋体" w:cs="宋体" w:hint="eastAsia"/>
                <w:color w:val="000000"/>
                <w:kern w:val="0"/>
                <w:sz w:val="18"/>
                <w:szCs w:val="18"/>
                <w:lang w:bidi="ar"/>
              </w:rPr>
              <w:t>渝园债</w:t>
            </w:r>
            <w:proofErr w:type="gramEnd"/>
          </w:p>
        </w:tc>
        <w:tc>
          <w:tcPr>
            <w:tcW w:w="2781"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25,512,565.07</w:t>
            </w:r>
          </w:p>
        </w:tc>
        <w:tc>
          <w:tcPr>
            <w:tcW w:w="1622"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8.60</w:t>
            </w:r>
          </w:p>
        </w:tc>
      </w:tr>
      <w:tr w:rsidR="00DC7E1E">
        <w:tc>
          <w:tcPr>
            <w:tcW w:w="639"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w:t>
            </w:r>
          </w:p>
        </w:tc>
        <w:tc>
          <w:tcPr>
            <w:tcW w:w="3251"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17</w:t>
            </w:r>
            <w:r>
              <w:rPr>
                <w:rFonts w:ascii="宋体" w:eastAsia="宋体" w:hAnsi="宋体" w:cs="宋体" w:hint="eastAsia"/>
                <w:color w:val="000000"/>
                <w:kern w:val="0"/>
                <w:sz w:val="18"/>
                <w:szCs w:val="18"/>
                <w:lang w:bidi="ar"/>
              </w:rPr>
              <w:t>长寿</w:t>
            </w:r>
            <w:r>
              <w:rPr>
                <w:rFonts w:ascii="宋体" w:eastAsia="宋体" w:hAnsi="宋体" w:cs="宋体" w:hint="eastAsia"/>
                <w:color w:val="000000"/>
                <w:kern w:val="0"/>
                <w:sz w:val="18"/>
                <w:szCs w:val="18"/>
                <w:lang w:bidi="ar"/>
              </w:rPr>
              <w:t>03</w:t>
            </w:r>
          </w:p>
        </w:tc>
        <w:tc>
          <w:tcPr>
            <w:tcW w:w="2781"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25,449,000.00</w:t>
            </w:r>
          </w:p>
        </w:tc>
        <w:tc>
          <w:tcPr>
            <w:tcW w:w="1622"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8.58</w:t>
            </w:r>
          </w:p>
        </w:tc>
      </w:tr>
      <w:tr w:rsidR="00DC7E1E">
        <w:trPr>
          <w:trHeight w:val="294"/>
        </w:trPr>
        <w:tc>
          <w:tcPr>
            <w:tcW w:w="639"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w:t>
            </w:r>
          </w:p>
        </w:tc>
        <w:tc>
          <w:tcPr>
            <w:tcW w:w="3251"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17</w:t>
            </w:r>
            <w:r>
              <w:rPr>
                <w:rFonts w:ascii="宋体" w:eastAsia="宋体" w:hAnsi="宋体" w:cs="宋体" w:hint="eastAsia"/>
                <w:color w:val="000000"/>
                <w:kern w:val="0"/>
                <w:sz w:val="18"/>
                <w:szCs w:val="18"/>
                <w:lang w:bidi="ar"/>
              </w:rPr>
              <w:t>海兴</w:t>
            </w:r>
            <w:r>
              <w:rPr>
                <w:rFonts w:ascii="宋体" w:eastAsia="宋体" w:hAnsi="宋体" w:cs="宋体" w:hint="eastAsia"/>
                <w:color w:val="000000"/>
                <w:kern w:val="0"/>
                <w:sz w:val="18"/>
                <w:szCs w:val="18"/>
                <w:lang w:bidi="ar"/>
              </w:rPr>
              <w:t>02</w:t>
            </w:r>
          </w:p>
        </w:tc>
        <w:tc>
          <w:tcPr>
            <w:tcW w:w="2781"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25,233,873.29</w:t>
            </w:r>
          </w:p>
        </w:tc>
        <w:tc>
          <w:tcPr>
            <w:tcW w:w="1622"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8.51</w:t>
            </w:r>
          </w:p>
        </w:tc>
      </w:tr>
      <w:tr w:rsidR="00DC7E1E">
        <w:tc>
          <w:tcPr>
            <w:tcW w:w="639"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w:t>
            </w:r>
          </w:p>
        </w:tc>
        <w:tc>
          <w:tcPr>
            <w:tcW w:w="3251"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银行存款</w:t>
            </w:r>
          </w:p>
        </w:tc>
        <w:tc>
          <w:tcPr>
            <w:tcW w:w="2781"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24,086,530.53</w:t>
            </w:r>
          </w:p>
        </w:tc>
        <w:tc>
          <w:tcPr>
            <w:tcW w:w="1622"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8.12</w:t>
            </w:r>
          </w:p>
        </w:tc>
      </w:tr>
      <w:tr w:rsidR="00DC7E1E">
        <w:tc>
          <w:tcPr>
            <w:tcW w:w="639"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9</w:t>
            </w:r>
          </w:p>
        </w:tc>
        <w:tc>
          <w:tcPr>
            <w:tcW w:w="3251"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16</w:t>
            </w:r>
            <w:r>
              <w:rPr>
                <w:rFonts w:ascii="宋体" w:eastAsia="宋体" w:hAnsi="宋体" w:cs="宋体" w:hint="eastAsia"/>
                <w:color w:val="000000"/>
                <w:kern w:val="0"/>
                <w:sz w:val="18"/>
                <w:szCs w:val="18"/>
                <w:lang w:bidi="ar"/>
              </w:rPr>
              <w:t>万林</w:t>
            </w:r>
            <w:r>
              <w:rPr>
                <w:rFonts w:ascii="宋体" w:eastAsia="宋体" w:hAnsi="宋体" w:cs="宋体" w:hint="eastAsia"/>
                <w:color w:val="000000"/>
                <w:kern w:val="0"/>
                <w:sz w:val="18"/>
                <w:szCs w:val="18"/>
                <w:lang w:bidi="ar"/>
              </w:rPr>
              <w:t>02</w:t>
            </w:r>
          </w:p>
        </w:tc>
        <w:tc>
          <w:tcPr>
            <w:tcW w:w="2781"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18,217,129.31</w:t>
            </w:r>
          </w:p>
        </w:tc>
        <w:tc>
          <w:tcPr>
            <w:tcW w:w="1622"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6.14</w:t>
            </w:r>
          </w:p>
        </w:tc>
      </w:tr>
      <w:tr w:rsidR="00DC7E1E">
        <w:tc>
          <w:tcPr>
            <w:tcW w:w="639"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10</w:t>
            </w:r>
          </w:p>
        </w:tc>
        <w:tc>
          <w:tcPr>
            <w:tcW w:w="3251"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华</w:t>
            </w:r>
            <w:proofErr w:type="gramStart"/>
            <w:r>
              <w:rPr>
                <w:rFonts w:ascii="宋体" w:eastAsia="宋体" w:hAnsi="宋体" w:cs="宋体" w:hint="eastAsia"/>
                <w:color w:val="000000"/>
                <w:kern w:val="0"/>
                <w:sz w:val="18"/>
                <w:szCs w:val="18"/>
                <w:lang w:bidi="ar"/>
              </w:rPr>
              <w:t>宝基金渝融</w:t>
            </w:r>
            <w:proofErr w:type="gramEnd"/>
            <w:r>
              <w:rPr>
                <w:rFonts w:ascii="宋体" w:eastAsia="宋体" w:hAnsi="宋体" w:cs="宋体" w:hint="eastAsia"/>
                <w:color w:val="000000"/>
                <w:kern w:val="0"/>
                <w:sz w:val="18"/>
                <w:szCs w:val="18"/>
                <w:lang w:bidi="ar"/>
              </w:rPr>
              <w:t>2</w:t>
            </w:r>
            <w:r>
              <w:rPr>
                <w:rFonts w:ascii="宋体" w:eastAsia="宋体" w:hAnsi="宋体" w:cs="宋体" w:hint="eastAsia"/>
                <w:color w:val="000000"/>
                <w:kern w:val="0"/>
                <w:sz w:val="18"/>
                <w:szCs w:val="18"/>
                <w:lang w:bidi="ar"/>
              </w:rPr>
              <w:t>号集合资产管理计划</w:t>
            </w:r>
          </w:p>
        </w:tc>
        <w:tc>
          <w:tcPr>
            <w:tcW w:w="2781"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2,004,800.00</w:t>
            </w:r>
          </w:p>
        </w:tc>
        <w:tc>
          <w:tcPr>
            <w:tcW w:w="1622" w:type="dxa"/>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0.68</w:t>
            </w:r>
          </w:p>
        </w:tc>
      </w:tr>
    </w:tbl>
    <w:p w:rsidR="00DC7E1E" w:rsidRDefault="00D00268">
      <w:pPr>
        <w:rPr>
          <w:rFonts w:asciiTheme="minorEastAsia" w:hAnsiTheme="minorEastAsia"/>
          <w:sz w:val="18"/>
          <w:szCs w:val="18"/>
        </w:rPr>
      </w:pPr>
      <w:r>
        <w:rPr>
          <w:rFonts w:asciiTheme="minorEastAsia" w:hAnsiTheme="minorEastAsia" w:hint="eastAsia"/>
          <w:sz w:val="18"/>
          <w:szCs w:val="18"/>
        </w:rPr>
        <w:t>备注：上述资产金额为该期产品资产市值</w:t>
      </w:r>
    </w:p>
    <w:p w:rsidR="00DC7E1E" w:rsidRDefault="00DC7E1E">
      <w:pPr>
        <w:rPr>
          <w:rFonts w:asciiTheme="minorEastAsia" w:hAnsiTheme="minorEastAsia"/>
          <w:b/>
          <w:szCs w:val="21"/>
        </w:rPr>
      </w:pPr>
    </w:p>
    <w:p w:rsidR="00DC7E1E" w:rsidRDefault="00D00268">
      <w:pPr>
        <w:numPr>
          <w:ilvl w:val="0"/>
          <w:numId w:val="2"/>
        </w:numPr>
        <w:rPr>
          <w:rFonts w:asciiTheme="minorEastAsia" w:hAnsiTheme="minorEastAsia"/>
          <w:szCs w:val="21"/>
        </w:rPr>
      </w:pPr>
      <w:r>
        <w:rPr>
          <w:rFonts w:asciiTheme="minorEastAsia" w:hAnsiTheme="minorEastAsia" w:hint="eastAsia"/>
          <w:szCs w:val="21"/>
        </w:rPr>
        <w:t>非标准化债权类资产投资情况</w:t>
      </w:r>
    </w:p>
    <w:p w:rsidR="00DC7E1E" w:rsidRDefault="00D00268">
      <w:pPr>
        <w:rPr>
          <w:rFonts w:asciiTheme="minorEastAsia" w:hAnsiTheme="minorEastAsia"/>
          <w:szCs w:val="21"/>
        </w:rPr>
      </w:pPr>
      <w:r>
        <w:rPr>
          <w:rFonts w:asciiTheme="minorEastAsia" w:hAnsiTheme="minorEastAsia" w:hint="eastAsia"/>
          <w:szCs w:val="21"/>
        </w:rPr>
        <w:t>期末理财产品持有非标准化债权类资产情况如下：</w:t>
      </w:r>
    </w:p>
    <w:tbl>
      <w:tblPr>
        <w:tblW w:w="83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7"/>
        <w:gridCol w:w="2266"/>
        <w:gridCol w:w="992"/>
        <w:gridCol w:w="992"/>
        <w:gridCol w:w="851"/>
        <w:gridCol w:w="813"/>
        <w:gridCol w:w="1160"/>
        <w:gridCol w:w="776"/>
      </w:tblGrid>
      <w:tr w:rsidR="00DC7E1E">
        <w:trPr>
          <w:trHeight w:val="465"/>
        </w:trPr>
        <w:tc>
          <w:tcPr>
            <w:tcW w:w="517" w:type="dxa"/>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序号</w:t>
            </w:r>
          </w:p>
        </w:tc>
        <w:tc>
          <w:tcPr>
            <w:tcW w:w="2266" w:type="dxa"/>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融资客户</w:t>
            </w:r>
          </w:p>
        </w:tc>
        <w:tc>
          <w:tcPr>
            <w:tcW w:w="992" w:type="dxa"/>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项目名称</w:t>
            </w:r>
          </w:p>
        </w:tc>
        <w:tc>
          <w:tcPr>
            <w:tcW w:w="992" w:type="dxa"/>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剩余融资期限（天）</w:t>
            </w:r>
          </w:p>
        </w:tc>
        <w:tc>
          <w:tcPr>
            <w:tcW w:w="851" w:type="dxa"/>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color w:val="000000"/>
                <w:kern w:val="0"/>
                <w:sz w:val="18"/>
                <w:szCs w:val="18"/>
                <w:lang w:bidi="ar"/>
              </w:rPr>
            </w:pPr>
            <w:proofErr w:type="gramStart"/>
            <w:r>
              <w:rPr>
                <w:rFonts w:ascii="宋体" w:eastAsia="宋体" w:hAnsi="宋体" w:cs="宋体" w:hint="eastAsia"/>
                <w:color w:val="000000"/>
                <w:kern w:val="0"/>
                <w:sz w:val="18"/>
                <w:szCs w:val="18"/>
                <w:lang w:bidi="ar"/>
              </w:rPr>
              <w:t>年化收益率</w:t>
            </w:r>
            <w:proofErr w:type="gramEnd"/>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w:t>
            </w:r>
            <w:r>
              <w:rPr>
                <w:rFonts w:ascii="宋体" w:eastAsia="宋体" w:hAnsi="宋体" w:cs="宋体" w:hint="eastAsia"/>
                <w:color w:val="000000"/>
                <w:kern w:val="0"/>
                <w:sz w:val="18"/>
                <w:szCs w:val="18"/>
                <w:lang w:bidi="ar"/>
              </w:rPr>
              <w:t>）</w:t>
            </w:r>
          </w:p>
        </w:tc>
        <w:tc>
          <w:tcPr>
            <w:tcW w:w="813" w:type="dxa"/>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到期收益分配</w:t>
            </w:r>
          </w:p>
        </w:tc>
        <w:tc>
          <w:tcPr>
            <w:tcW w:w="1160" w:type="dxa"/>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交易结构</w:t>
            </w:r>
          </w:p>
        </w:tc>
        <w:tc>
          <w:tcPr>
            <w:tcW w:w="776" w:type="dxa"/>
          </w:tcPr>
          <w:p w:rsidR="00DC7E1E" w:rsidRDefault="00D00268">
            <w:pPr>
              <w:widowControl/>
              <w:spacing w:line="600" w:lineRule="auto"/>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风险状况</w:t>
            </w:r>
          </w:p>
        </w:tc>
      </w:tr>
      <w:tr w:rsidR="00DC7E1E">
        <w:trPr>
          <w:trHeight w:val="465"/>
        </w:trPr>
        <w:tc>
          <w:tcPr>
            <w:tcW w:w="517" w:type="dxa"/>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w:t>
            </w:r>
          </w:p>
        </w:tc>
        <w:tc>
          <w:tcPr>
            <w:tcW w:w="2266" w:type="dxa"/>
            <w:shd w:val="clear" w:color="auto" w:fill="auto"/>
            <w:tcMar>
              <w:top w:w="15" w:type="dxa"/>
              <w:left w:w="15" w:type="dxa"/>
              <w:right w:w="15" w:type="dxa"/>
            </w:tcMar>
            <w:vAlign w:val="bottom"/>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河南九鼎金融租赁股份有限公司</w:t>
            </w:r>
          </w:p>
        </w:tc>
        <w:tc>
          <w:tcPr>
            <w:tcW w:w="992" w:type="dxa"/>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九鼎租赁</w:t>
            </w:r>
          </w:p>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同业借款</w:t>
            </w:r>
          </w:p>
        </w:tc>
        <w:tc>
          <w:tcPr>
            <w:tcW w:w="992" w:type="dxa"/>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72</w:t>
            </w:r>
          </w:p>
        </w:tc>
        <w:tc>
          <w:tcPr>
            <w:tcW w:w="851" w:type="dxa"/>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4.95</w:t>
            </w:r>
          </w:p>
        </w:tc>
        <w:tc>
          <w:tcPr>
            <w:tcW w:w="813" w:type="dxa"/>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利随本清</w:t>
            </w:r>
          </w:p>
        </w:tc>
        <w:tc>
          <w:tcPr>
            <w:tcW w:w="1160" w:type="dxa"/>
            <w:shd w:val="clear" w:color="auto" w:fill="auto"/>
            <w:tcMar>
              <w:top w:w="15" w:type="dxa"/>
              <w:left w:w="15" w:type="dxa"/>
              <w:right w:w="15" w:type="dxa"/>
            </w:tcMar>
            <w:vAlign w:val="center"/>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同业借款</w:t>
            </w:r>
          </w:p>
        </w:tc>
        <w:tc>
          <w:tcPr>
            <w:tcW w:w="776" w:type="dxa"/>
            <w:vAlign w:val="center"/>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无异常</w:t>
            </w:r>
          </w:p>
        </w:tc>
      </w:tr>
    </w:tbl>
    <w:p w:rsidR="00DC7E1E" w:rsidRDefault="00DC7E1E">
      <w:pPr>
        <w:widowControl/>
        <w:jc w:val="center"/>
        <w:textAlignment w:val="top"/>
        <w:rPr>
          <w:rFonts w:ascii="宋体" w:eastAsia="宋体" w:hAnsi="宋体" w:cs="宋体"/>
          <w:color w:val="000000"/>
          <w:kern w:val="0"/>
          <w:sz w:val="18"/>
          <w:szCs w:val="18"/>
          <w:lang w:bidi="ar"/>
        </w:rPr>
      </w:pPr>
    </w:p>
    <w:p w:rsidR="00DC7E1E" w:rsidRDefault="00D00268">
      <w:pPr>
        <w:numPr>
          <w:ilvl w:val="0"/>
          <w:numId w:val="2"/>
        </w:numPr>
        <w:rPr>
          <w:rFonts w:asciiTheme="minorEastAsia" w:hAnsiTheme="minorEastAsia"/>
          <w:szCs w:val="21"/>
        </w:rPr>
      </w:pPr>
      <w:r>
        <w:rPr>
          <w:rFonts w:asciiTheme="minorEastAsia" w:hAnsiTheme="minorEastAsia" w:hint="eastAsia"/>
          <w:szCs w:val="21"/>
        </w:rPr>
        <w:t>关联交易情况</w:t>
      </w:r>
    </w:p>
    <w:p w:rsidR="00DC7E1E" w:rsidRDefault="00D00268">
      <w:pPr>
        <w:rPr>
          <w:rFonts w:asciiTheme="minorEastAsia" w:hAnsiTheme="minorEastAsia"/>
          <w:szCs w:val="21"/>
        </w:rPr>
      </w:pPr>
      <w:r>
        <w:rPr>
          <w:rFonts w:asciiTheme="minorEastAsia" w:hAnsiTheme="minorEastAsia" w:hint="eastAsia"/>
          <w:szCs w:val="21"/>
        </w:rPr>
        <w:t>期末理财产品持有的关联方交易明细如下：</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275"/>
        <w:gridCol w:w="1245"/>
        <w:gridCol w:w="1154"/>
        <w:gridCol w:w="1052"/>
        <w:gridCol w:w="1369"/>
      </w:tblGrid>
      <w:tr w:rsidR="00DC7E1E">
        <w:trPr>
          <w:trHeight w:val="285"/>
          <w:jc w:val="center"/>
        </w:trPr>
        <w:tc>
          <w:tcPr>
            <w:tcW w:w="846" w:type="dxa"/>
            <w:vAlign w:val="center"/>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序号</w:t>
            </w:r>
          </w:p>
        </w:tc>
        <w:tc>
          <w:tcPr>
            <w:tcW w:w="1276" w:type="dxa"/>
            <w:vAlign w:val="center"/>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资产名称</w:t>
            </w:r>
          </w:p>
        </w:tc>
        <w:tc>
          <w:tcPr>
            <w:tcW w:w="1275" w:type="dxa"/>
            <w:vAlign w:val="center"/>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资产类别</w:t>
            </w:r>
          </w:p>
        </w:tc>
        <w:tc>
          <w:tcPr>
            <w:tcW w:w="1245" w:type="dxa"/>
            <w:vAlign w:val="center"/>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资产代码</w:t>
            </w:r>
          </w:p>
        </w:tc>
        <w:tc>
          <w:tcPr>
            <w:tcW w:w="1154" w:type="dxa"/>
            <w:vAlign w:val="center"/>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交易数量（张）</w:t>
            </w:r>
          </w:p>
        </w:tc>
        <w:tc>
          <w:tcPr>
            <w:tcW w:w="1052" w:type="dxa"/>
            <w:vAlign w:val="center"/>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持有金额（元）</w:t>
            </w:r>
          </w:p>
        </w:tc>
        <w:tc>
          <w:tcPr>
            <w:tcW w:w="1369" w:type="dxa"/>
            <w:vAlign w:val="center"/>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关联方名称</w:t>
            </w:r>
          </w:p>
        </w:tc>
      </w:tr>
      <w:tr w:rsidR="00DC7E1E">
        <w:trPr>
          <w:trHeight w:val="285"/>
          <w:jc w:val="center"/>
        </w:trPr>
        <w:tc>
          <w:tcPr>
            <w:tcW w:w="846" w:type="dxa"/>
          </w:tcPr>
          <w:p w:rsidR="00DC7E1E" w:rsidRDefault="00D00268">
            <w:pPr>
              <w:jc w:val="center"/>
            </w:pPr>
            <w:r>
              <w:rPr>
                <w:rFonts w:ascii="宋体" w:eastAsia="宋体" w:hAnsi="宋体" w:cs="宋体" w:hint="eastAsia"/>
                <w:color w:val="000000"/>
                <w:kern w:val="0"/>
                <w:sz w:val="18"/>
                <w:szCs w:val="18"/>
                <w:lang w:bidi="ar"/>
              </w:rPr>
              <w:t>/</w:t>
            </w:r>
          </w:p>
        </w:tc>
        <w:tc>
          <w:tcPr>
            <w:tcW w:w="1276" w:type="dxa"/>
          </w:tcPr>
          <w:p w:rsidR="00DC7E1E" w:rsidRDefault="00D00268">
            <w:pPr>
              <w:jc w:val="center"/>
            </w:pPr>
            <w:r>
              <w:rPr>
                <w:rFonts w:ascii="宋体" w:eastAsia="宋体" w:hAnsi="宋体" w:cs="宋体" w:hint="eastAsia"/>
                <w:color w:val="000000"/>
                <w:kern w:val="0"/>
                <w:sz w:val="18"/>
                <w:szCs w:val="18"/>
                <w:lang w:bidi="ar"/>
              </w:rPr>
              <w:t>/</w:t>
            </w:r>
          </w:p>
        </w:tc>
        <w:tc>
          <w:tcPr>
            <w:tcW w:w="1275" w:type="dxa"/>
          </w:tcPr>
          <w:p w:rsidR="00DC7E1E" w:rsidRDefault="00D00268">
            <w:pPr>
              <w:jc w:val="center"/>
            </w:pPr>
            <w:r>
              <w:rPr>
                <w:rFonts w:ascii="宋体" w:eastAsia="宋体" w:hAnsi="宋体" w:cs="宋体" w:hint="eastAsia"/>
                <w:color w:val="000000"/>
                <w:kern w:val="0"/>
                <w:sz w:val="18"/>
                <w:szCs w:val="18"/>
                <w:lang w:bidi="ar"/>
              </w:rPr>
              <w:t>/</w:t>
            </w:r>
          </w:p>
        </w:tc>
        <w:tc>
          <w:tcPr>
            <w:tcW w:w="1245" w:type="dxa"/>
          </w:tcPr>
          <w:p w:rsidR="00DC7E1E" w:rsidRDefault="00D00268">
            <w:pPr>
              <w:jc w:val="center"/>
            </w:pPr>
            <w:r>
              <w:rPr>
                <w:rFonts w:ascii="宋体" w:eastAsia="宋体" w:hAnsi="宋体" w:cs="宋体" w:hint="eastAsia"/>
                <w:color w:val="000000"/>
                <w:kern w:val="0"/>
                <w:sz w:val="18"/>
                <w:szCs w:val="18"/>
                <w:lang w:bidi="ar"/>
              </w:rPr>
              <w:t>/</w:t>
            </w:r>
          </w:p>
        </w:tc>
        <w:tc>
          <w:tcPr>
            <w:tcW w:w="1154" w:type="dxa"/>
          </w:tcPr>
          <w:p w:rsidR="00DC7E1E" w:rsidRDefault="00D00268">
            <w:pPr>
              <w:jc w:val="center"/>
            </w:pPr>
            <w:r>
              <w:rPr>
                <w:rFonts w:ascii="宋体" w:eastAsia="宋体" w:hAnsi="宋体" w:cs="宋体" w:hint="eastAsia"/>
                <w:color w:val="000000"/>
                <w:kern w:val="0"/>
                <w:sz w:val="18"/>
                <w:szCs w:val="18"/>
                <w:lang w:bidi="ar"/>
              </w:rPr>
              <w:t>/</w:t>
            </w:r>
          </w:p>
        </w:tc>
        <w:tc>
          <w:tcPr>
            <w:tcW w:w="1052" w:type="dxa"/>
          </w:tcPr>
          <w:p w:rsidR="00DC7E1E" w:rsidRDefault="00D00268">
            <w:pPr>
              <w:jc w:val="center"/>
            </w:pPr>
            <w:r>
              <w:rPr>
                <w:rFonts w:ascii="宋体" w:eastAsia="宋体" w:hAnsi="宋体" w:cs="宋体" w:hint="eastAsia"/>
                <w:color w:val="000000"/>
                <w:kern w:val="0"/>
                <w:sz w:val="18"/>
                <w:szCs w:val="18"/>
                <w:lang w:bidi="ar"/>
              </w:rPr>
              <w:t>/</w:t>
            </w:r>
          </w:p>
        </w:tc>
        <w:tc>
          <w:tcPr>
            <w:tcW w:w="1369" w:type="dxa"/>
          </w:tcPr>
          <w:p w:rsidR="00DC7E1E" w:rsidRDefault="00D00268">
            <w:pPr>
              <w:jc w:val="center"/>
            </w:pPr>
            <w:r>
              <w:rPr>
                <w:rFonts w:ascii="宋体" w:eastAsia="宋体" w:hAnsi="宋体" w:cs="宋体" w:hint="eastAsia"/>
                <w:color w:val="000000"/>
                <w:kern w:val="0"/>
                <w:sz w:val="18"/>
                <w:szCs w:val="18"/>
                <w:lang w:bidi="ar"/>
              </w:rPr>
              <w:t>/</w:t>
            </w:r>
          </w:p>
        </w:tc>
      </w:tr>
    </w:tbl>
    <w:p w:rsidR="00DC7E1E" w:rsidRDefault="00D00268">
      <w:pPr>
        <w:rPr>
          <w:rFonts w:asciiTheme="minorEastAsia" w:hAnsiTheme="minorEastAsia"/>
          <w:sz w:val="18"/>
          <w:szCs w:val="18"/>
        </w:rPr>
      </w:pPr>
      <w:r>
        <w:rPr>
          <w:rFonts w:asciiTheme="minorEastAsia" w:hAnsiTheme="minorEastAsia" w:hint="eastAsia"/>
          <w:sz w:val="18"/>
          <w:szCs w:val="18"/>
        </w:rPr>
        <w:t>备注：上述资产金额为该期产品资产市值</w:t>
      </w:r>
    </w:p>
    <w:p w:rsidR="00DC7E1E" w:rsidRDefault="00DC7E1E">
      <w:pPr>
        <w:rPr>
          <w:rFonts w:asciiTheme="minorEastAsia" w:hAnsiTheme="minorEastAsia"/>
          <w:szCs w:val="21"/>
        </w:rPr>
      </w:pPr>
    </w:p>
    <w:p w:rsidR="00DC7E1E" w:rsidRDefault="00D00268">
      <w:pPr>
        <w:numPr>
          <w:ilvl w:val="0"/>
          <w:numId w:val="2"/>
        </w:numPr>
        <w:rPr>
          <w:rFonts w:asciiTheme="minorEastAsia" w:hAnsiTheme="minorEastAsia"/>
          <w:szCs w:val="21"/>
        </w:rPr>
      </w:pPr>
      <w:r>
        <w:rPr>
          <w:rFonts w:asciiTheme="minorEastAsia" w:hAnsiTheme="minorEastAsia"/>
          <w:szCs w:val="21"/>
        </w:rPr>
        <w:lastRenderedPageBreak/>
        <w:t>信贷资产受</w:t>
      </w:r>
      <w:r>
        <w:rPr>
          <w:rFonts w:asciiTheme="minorEastAsia" w:hAnsiTheme="minorEastAsia"/>
          <w:szCs w:val="21"/>
        </w:rPr>
        <w:t>(</w:t>
      </w:r>
      <w:r>
        <w:rPr>
          <w:rFonts w:asciiTheme="minorEastAsia" w:hAnsiTheme="minorEastAsia"/>
          <w:szCs w:val="21"/>
        </w:rPr>
        <w:t>收</w:t>
      </w:r>
      <w:r>
        <w:rPr>
          <w:rFonts w:asciiTheme="minorEastAsia" w:hAnsiTheme="minorEastAsia"/>
          <w:szCs w:val="21"/>
        </w:rPr>
        <w:t>)</w:t>
      </w:r>
      <w:r>
        <w:rPr>
          <w:rFonts w:asciiTheme="minorEastAsia" w:hAnsiTheme="minorEastAsia"/>
          <w:szCs w:val="21"/>
        </w:rPr>
        <w:t>益权情况</w:t>
      </w:r>
    </w:p>
    <w:p w:rsidR="00DC7E1E" w:rsidRDefault="00D00268">
      <w:pPr>
        <w:rPr>
          <w:rFonts w:asciiTheme="minorEastAsia" w:hAnsiTheme="minorEastAsia"/>
          <w:szCs w:val="21"/>
        </w:rPr>
      </w:pPr>
      <w:r>
        <w:rPr>
          <w:rFonts w:asciiTheme="minorEastAsia" w:hAnsiTheme="minorEastAsia" w:hint="eastAsia"/>
          <w:szCs w:val="21"/>
        </w:rPr>
        <w:t>期末理财产品持有的</w:t>
      </w:r>
      <w:r>
        <w:rPr>
          <w:rFonts w:asciiTheme="minorEastAsia" w:hAnsiTheme="minorEastAsia"/>
          <w:szCs w:val="21"/>
        </w:rPr>
        <w:t>信贷资产受</w:t>
      </w:r>
      <w:r>
        <w:rPr>
          <w:rFonts w:asciiTheme="minorEastAsia" w:hAnsiTheme="minorEastAsia"/>
          <w:szCs w:val="21"/>
        </w:rPr>
        <w:t>(</w:t>
      </w:r>
      <w:r>
        <w:rPr>
          <w:rFonts w:asciiTheme="minorEastAsia" w:hAnsiTheme="minorEastAsia"/>
          <w:szCs w:val="21"/>
        </w:rPr>
        <w:t>收</w:t>
      </w:r>
      <w:r>
        <w:rPr>
          <w:rFonts w:asciiTheme="minorEastAsia" w:hAnsiTheme="minorEastAsia"/>
          <w:szCs w:val="21"/>
        </w:rPr>
        <w:t>)</w:t>
      </w:r>
      <w:r>
        <w:rPr>
          <w:rFonts w:asciiTheme="minorEastAsia" w:hAnsiTheme="minorEastAsia"/>
          <w:szCs w:val="21"/>
        </w:rPr>
        <w:t>益</w:t>
      </w:r>
      <w:proofErr w:type="gramStart"/>
      <w:r>
        <w:rPr>
          <w:rFonts w:asciiTheme="minorEastAsia" w:hAnsiTheme="minorEastAsia"/>
          <w:szCs w:val="21"/>
        </w:rPr>
        <w:t>权</w:t>
      </w:r>
      <w:r>
        <w:rPr>
          <w:rFonts w:asciiTheme="minorEastAsia" w:hAnsiTheme="minorEastAsia" w:hint="eastAsia"/>
          <w:szCs w:val="21"/>
        </w:rPr>
        <w:t>资产</w:t>
      </w:r>
      <w:proofErr w:type="gramEnd"/>
      <w:r>
        <w:rPr>
          <w:rFonts w:asciiTheme="minorEastAsia" w:hAnsiTheme="minorEastAsia" w:hint="eastAsia"/>
          <w:szCs w:val="21"/>
        </w:rPr>
        <w:t>如下：</w:t>
      </w:r>
      <w:r>
        <w:rPr>
          <w:rFonts w:asciiTheme="minorEastAsia" w:hAnsiTheme="minorEastAsia" w:hint="eastAsia"/>
          <w:szCs w:val="21"/>
        </w:rPr>
        <w:t xml:space="preserve">  </w:t>
      </w:r>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1403"/>
        <w:gridCol w:w="1843"/>
        <w:gridCol w:w="1276"/>
        <w:gridCol w:w="1559"/>
        <w:gridCol w:w="1560"/>
      </w:tblGrid>
      <w:tr w:rsidR="00DC7E1E">
        <w:trPr>
          <w:trHeight w:val="285"/>
          <w:jc w:val="center"/>
        </w:trPr>
        <w:tc>
          <w:tcPr>
            <w:tcW w:w="860" w:type="dxa"/>
            <w:vAlign w:val="center"/>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序号</w:t>
            </w:r>
          </w:p>
        </w:tc>
        <w:tc>
          <w:tcPr>
            <w:tcW w:w="1403" w:type="dxa"/>
            <w:vAlign w:val="center"/>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资产名称</w:t>
            </w:r>
          </w:p>
        </w:tc>
        <w:tc>
          <w:tcPr>
            <w:tcW w:w="1843" w:type="dxa"/>
            <w:vAlign w:val="center"/>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原始权益人名称</w:t>
            </w:r>
          </w:p>
        </w:tc>
        <w:tc>
          <w:tcPr>
            <w:tcW w:w="1276" w:type="dxa"/>
            <w:vAlign w:val="center"/>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交易日</w:t>
            </w:r>
          </w:p>
        </w:tc>
        <w:tc>
          <w:tcPr>
            <w:tcW w:w="1559" w:type="dxa"/>
            <w:vAlign w:val="center"/>
          </w:tcPr>
          <w:p w:rsidR="00DC7E1E" w:rsidRDefault="00D00268">
            <w:pPr>
              <w:widowControl/>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项目剩余融资期限</w:t>
            </w:r>
            <w:r>
              <w:rPr>
                <w:rFonts w:ascii="宋体" w:eastAsia="宋体" w:hAnsi="宋体" w:cs="宋体" w:hint="eastAsia"/>
                <w:color w:val="000000"/>
                <w:kern w:val="0"/>
                <w:sz w:val="18"/>
                <w:szCs w:val="18"/>
                <w:lang w:bidi="ar"/>
              </w:rPr>
              <w:t xml:space="preserve"> </w:t>
            </w:r>
            <w:r>
              <w:rPr>
                <w:rFonts w:ascii="宋体" w:eastAsia="宋体" w:hAnsi="宋体" w:cs="宋体" w:hint="eastAsia"/>
                <w:color w:val="000000"/>
                <w:kern w:val="0"/>
                <w:sz w:val="18"/>
                <w:szCs w:val="18"/>
                <w:lang w:bidi="ar"/>
              </w:rPr>
              <w:t>（天）</w:t>
            </w:r>
          </w:p>
        </w:tc>
        <w:tc>
          <w:tcPr>
            <w:tcW w:w="1560" w:type="dxa"/>
          </w:tcPr>
          <w:p w:rsidR="00DC7E1E" w:rsidRDefault="00D00268">
            <w:pPr>
              <w:widowControl/>
              <w:spacing w:line="600" w:lineRule="auto"/>
              <w:jc w:val="center"/>
              <w:textAlignment w:val="top"/>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持有金额（元）</w:t>
            </w:r>
          </w:p>
        </w:tc>
      </w:tr>
      <w:tr w:rsidR="00DC7E1E">
        <w:trPr>
          <w:trHeight w:val="285"/>
          <w:jc w:val="center"/>
        </w:trPr>
        <w:tc>
          <w:tcPr>
            <w:tcW w:w="860" w:type="dxa"/>
          </w:tcPr>
          <w:p w:rsidR="00DC7E1E" w:rsidRDefault="00D00268">
            <w:pPr>
              <w:jc w:val="center"/>
            </w:pPr>
            <w:r>
              <w:rPr>
                <w:rFonts w:ascii="宋体" w:eastAsia="宋体" w:hAnsi="宋体" w:cs="宋体" w:hint="eastAsia"/>
                <w:color w:val="000000"/>
                <w:kern w:val="0"/>
                <w:sz w:val="18"/>
                <w:szCs w:val="18"/>
                <w:lang w:bidi="ar"/>
              </w:rPr>
              <w:t>/</w:t>
            </w:r>
          </w:p>
        </w:tc>
        <w:tc>
          <w:tcPr>
            <w:tcW w:w="1403" w:type="dxa"/>
          </w:tcPr>
          <w:p w:rsidR="00DC7E1E" w:rsidRDefault="00D00268">
            <w:pPr>
              <w:jc w:val="center"/>
            </w:pPr>
            <w:r>
              <w:rPr>
                <w:rFonts w:ascii="宋体" w:eastAsia="宋体" w:hAnsi="宋体" w:cs="宋体" w:hint="eastAsia"/>
                <w:color w:val="000000"/>
                <w:kern w:val="0"/>
                <w:sz w:val="18"/>
                <w:szCs w:val="18"/>
                <w:lang w:bidi="ar"/>
              </w:rPr>
              <w:t>/</w:t>
            </w:r>
          </w:p>
        </w:tc>
        <w:tc>
          <w:tcPr>
            <w:tcW w:w="1843" w:type="dxa"/>
          </w:tcPr>
          <w:p w:rsidR="00DC7E1E" w:rsidRDefault="00D00268">
            <w:pPr>
              <w:jc w:val="center"/>
            </w:pPr>
            <w:r>
              <w:rPr>
                <w:rFonts w:ascii="宋体" w:eastAsia="宋体" w:hAnsi="宋体" w:cs="宋体" w:hint="eastAsia"/>
                <w:color w:val="000000"/>
                <w:kern w:val="0"/>
                <w:sz w:val="18"/>
                <w:szCs w:val="18"/>
                <w:lang w:bidi="ar"/>
              </w:rPr>
              <w:t>/</w:t>
            </w:r>
          </w:p>
        </w:tc>
        <w:tc>
          <w:tcPr>
            <w:tcW w:w="1276" w:type="dxa"/>
          </w:tcPr>
          <w:p w:rsidR="00DC7E1E" w:rsidRDefault="00D00268">
            <w:pPr>
              <w:jc w:val="center"/>
            </w:pPr>
            <w:r>
              <w:rPr>
                <w:rFonts w:ascii="宋体" w:eastAsia="宋体" w:hAnsi="宋体" w:cs="宋体" w:hint="eastAsia"/>
                <w:color w:val="000000"/>
                <w:kern w:val="0"/>
                <w:sz w:val="18"/>
                <w:szCs w:val="18"/>
                <w:lang w:bidi="ar"/>
              </w:rPr>
              <w:t>/</w:t>
            </w:r>
          </w:p>
        </w:tc>
        <w:tc>
          <w:tcPr>
            <w:tcW w:w="1559" w:type="dxa"/>
          </w:tcPr>
          <w:p w:rsidR="00DC7E1E" w:rsidRDefault="00D00268">
            <w:pPr>
              <w:jc w:val="center"/>
            </w:pPr>
            <w:r>
              <w:rPr>
                <w:rFonts w:ascii="宋体" w:eastAsia="宋体" w:hAnsi="宋体" w:cs="宋体" w:hint="eastAsia"/>
                <w:color w:val="000000"/>
                <w:kern w:val="0"/>
                <w:sz w:val="18"/>
                <w:szCs w:val="18"/>
                <w:lang w:bidi="ar"/>
              </w:rPr>
              <w:t>/</w:t>
            </w:r>
          </w:p>
        </w:tc>
        <w:tc>
          <w:tcPr>
            <w:tcW w:w="1560" w:type="dxa"/>
          </w:tcPr>
          <w:p w:rsidR="00DC7E1E" w:rsidRDefault="00D00268">
            <w:pPr>
              <w:jc w:val="center"/>
            </w:pPr>
            <w:r>
              <w:rPr>
                <w:rFonts w:ascii="宋体" w:eastAsia="宋体" w:hAnsi="宋体" w:cs="宋体" w:hint="eastAsia"/>
                <w:color w:val="000000"/>
                <w:kern w:val="0"/>
                <w:sz w:val="18"/>
                <w:szCs w:val="18"/>
                <w:lang w:bidi="ar"/>
              </w:rPr>
              <w:t>/</w:t>
            </w:r>
          </w:p>
        </w:tc>
      </w:tr>
    </w:tbl>
    <w:p w:rsidR="00DC7E1E" w:rsidRDefault="00DC7E1E">
      <w:pPr>
        <w:rPr>
          <w:rFonts w:asciiTheme="minorEastAsia" w:hAnsiTheme="minorEastAsia"/>
          <w:szCs w:val="21"/>
        </w:rPr>
      </w:pPr>
    </w:p>
    <w:p w:rsidR="00DC7E1E" w:rsidRDefault="00D00268">
      <w:pPr>
        <w:rPr>
          <w:rFonts w:asciiTheme="minorEastAsia" w:hAnsiTheme="minorEastAsia"/>
          <w:szCs w:val="21"/>
        </w:rPr>
      </w:pPr>
      <w:r>
        <w:rPr>
          <w:rFonts w:asciiTheme="minorEastAsia" w:hAnsiTheme="minorEastAsia" w:hint="eastAsia"/>
          <w:szCs w:val="21"/>
        </w:rPr>
        <w:t>七</w:t>
      </w:r>
      <w:r>
        <w:rPr>
          <w:rFonts w:asciiTheme="minorEastAsia" w:hAnsiTheme="minorEastAsia"/>
          <w:szCs w:val="21"/>
        </w:rPr>
        <w:t>、</w:t>
      </w:r>
      <w:r>
        <w:rPr>
          <w:rFonts w:asciiTheme="minorEastAsia" w:hAnsiTheme="minorEastAsia" w:hint="eastAsia"/>
          <w:szCs w:val="21"/>
        </w:rPr>
        <w:t>金融工具风险及管理</w:t>
      </w:r>
    </w:p>
    <w:p w:rsidR="00DC7E1E" w:rsidRDefault="00D00268">
      <w:pPr>
        <w:ind w:firstLineChars="200" w:firstLine="420"/>
        <w:rPr>
          <w:rFonts w:asciiTheme="minorEastAsia" w:hAnsiTheme="minorEastAsia"/>
        </w:rPr>
      </w:pPr>
      <w:r>
        <w:rPr>
          <w:rFonts w:asciiTheme="minorEastAsia" w:hAnsiTheme="minorEastAsia" w:hint="eastAsia"/>
        </w:rPr>
        <w:t>本期产品在日常经营活动中涉及风险主要包括信用风险、流动性风险及市场风险。我行通过相关程序和规章制度对上述风险进行严格控制。</w:t>
      </w:r>
      <w:r>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 xml:space="preserve"> </w:t>
      </w:r>
      <w:r>
        <w:rPr>
          <w:rFonts w:asciiTheme="minorEastAsia" w:hAnsiTheme="minorEastAsia" w:hint="eastAsia"/>
        </w:rPr>
        <w:t>（一）</w:t>
      </w:r>
      <w:r>
        <w:rPr>
          <w:rFonts w:asciiTheme="minorEastAsia" w:hAnsiTheme="minorEastAsia" w:hint="eastAsia"/>
        </w:rPr>
        <w:t xml:space="preserve"> </w:t>
      </w:r>
      <w:r>
        <w:rPr>
          <w:rFonts w:asciiTheme="minorEastAsia" w:hAnsiTheme="minorEastAsia" w:hint="eastAsia"/>
        </w:rPr>
        <w:t>信用风险</w:t>
      </w:r>
    </w:p>
    <w:p w:rsidR="00DC7E1E" w:rsidRDefault="00D00268">
      <w:pPr>
        <w:ind w:firstLineChars="200" w:firstLine="420"/>
        <w:rPr>
          <w:rFonts w:asciiTheme="minorEastAsia" w:hAnsiTheme="minorEastAsia"/>
        </w:rPr>
      </w:pPr>
      <w:r>
        <w:rPr>
          <w:rFonts w:asciiTheme="minorEastAsia" w:hAnsiTheme="minorEastAsia" w:hint="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rsidR="00DC7E1E" w:rsidRDefault="00D00268">
      <w:pPr>
        <w:ind w:firstLineChars="200" w:firstLine="420"/>
        <w:rPr>
          <w:rFonts w:asciiTheme="minorEastAsia" w:hAnsiTheme="minorEastAsia"/>
        </w:rPr>
      </w:pPr>
      <w:r>
        <w:rPr>
          <w:rFonts w:asciiTheme="minorEastAsia" w:hAnsiTheme="minorEastAsia" w:hint="eastAsia"/>
        </w:rPr>
        <w:t>（二）</w:t>
      </w:r>
      <w:r>
        <w:rPr>
          <w:rFonts w:asciiTheme="minorEastAsia" w:hAnsiTheme="minorEastAsia" w:hint="eastAsia"/>
        </w:rPr>
        <w:t xml:space="preserve"> </w:t>
      </w:r>
      <w:r>
        <w:rPr>
          <w:rFonts w:asciiTheme="minorEastAsia" w:hAnsiTheme="minorEastAsia" w:hint="eastAsia"/>
        </w:rPr>
        <w:t>流动性风险</w:t>
      </w:r>
    </w:p>
    <w:p w:rsidR="00DC7E1E" w:rsidRDefault="00D00268">
      <w:pPr>
        <w:ind w:firstLineChars="200" w:firstLine="420"/>
        <w:rPr>
          <w:rFonts w:asciiTheme="minorEastAsia" w:hAnsiTheme="minorEastAsia"/>
        </w:rPr>
      </w:pPr>
      <w:r>
        <w:rPr>
          <w:rFonts w:asciiTheme="minorEastAsia" w:hAnsiTheme="minorEastAsia" w:hint="eastAsia"/>
        </w:rPr>
        <w:t>流动性风险是指产品所持金融工具变现的难易程度。本产品以流动性较强的投资品种为核心，投资范围包括但不限于银行存款、同业存单、银行间债券市场和证券交易所发行的债券</w:t>
      </w:r>
      <w:r>
        <w:rPr>
          <w:rFonts w:asciiTheme="minorEastAsia" w:hAnsiTheme="minorEastAsia" w:hint="eastAsia"/>
        </w:rPr>
        <w:t>、质押式回购等；同时，持续监测、分析流动性指标，定期预测产品流动性需求，严格按照相关制度办法进行流动性风险管理。</w:t>
      </w:r>
    </w:p>
    <w:p w:rsidR="00DC7E1E" w:rsidRDefault="00D00268">
      <w:pPr>
        <w:numPr>
          <w:ilvl w:val="0"/>
          <w:numId w:val="3"/>
        </w:numPr>
        <w:ind w:firstLineChars="200" w:firstLine="420"/>
        <w:rPr>
          <w:rFonts w:asciiTheme="minorEastAsia" w:hAnsiTheme="minorEastAsia"/>
        </w:rPr>
      </w:pPr>
      <w:r>
        <w:rPr>
          <w:rFonts w:asciiTheme="minorEastAsia" w:hAnsiTheme="minorEastAsia" w:hint="eastAsia"/>
        </w:rPr>
        <w:t>市场风险</w:t>
      </w:r>
      <w:r>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w:t>
      </w:r>
      <w:proofErr w:type="gramStart"/>
      <w:r>
        <w:rPr>
          <w:rFonts w:asciiTheme="minorEastAsia" w:hAnsiTheme="minorEastAsia" w:hint="eastAsia"/>
        </w:rPr>
        <w:t>研</w:t>
      </w:r>
      <w:proofErr w:type="gramEnd"/>
      <w:r>
        <w:rPr>
          <w:rFonts w:asciiTheme="minorEastAsia" w:hAnsiTheme="minorEastAsia" w:hint="eastAsia"/>
        </w:rPr>
        <w:t>判，结合逐日盯市等，严控市场风险。</w:t>
      </w:r>
    </w:p>
    <w:p w:rsidR="00DC7E1E" w:rsidRDefault="00DC7E1E">
      <w:pPr>
        <w:rPr>
          <w:rFonts w:asciiTheme="minorEastAsia" w:hAnsiTheme="minorEastAsia"/>
        </w:rPr>
      </w:pPr>
    </w:p>
    <w:p w:rsidR="00DC7E1E" w:rsidRDefault="00D00268">
      <w:pPr>
        <w:rPr>
          <w:rFonts w:asciiTheme="minorEastAsia" w:hAnsiTheme="minorEastAsia"/>
          <w:szCs w:val="21"/>
        </w:rPr>
      </w:pPr>
      <w:r>
        <w:rPr>
          <w:rFonts w:asciiTheme="minorEastAsia" w:hAnsiTheme="minorEastAsia" w:hint="eastAsia"/>
          <w:szCs w:val="21"/>
        </w:rPr>
        <w:t>八</w:t>
      </w:r>
      <w:r>
        <w:rPr>
          <w:rFonts w:asciiTheme="minorEastAsia" w:hAnsiTheme="minorEastAsia"/>
          <w:szCs w:val="21"/>
        </w:rPr>
        <w:t>、</w:t>
      </w:r>
      <w:r>
        <w:rPr>
          <w:rFonts w:asciiTheme="minorEastAsia" w:hAnsiTheme="minorEastAsia" w:hint="eastAsia"/>
          <w:szCs w:val="21"/>
        </w:rPr>
        <w:t>产品</w:t>
      </w:r>
      <w:r>
        <w:rPr>
          <w:rFonts w:asciiTheme="minorEastAsia" w:hAnsiTheme="minorEastAsia"/>
          <w:szCs w:val="21"/>
        </w:rPr>
        <w:t>整体运作情况</w:t>
      </w:r>
    </w:p>
    <w:p w:rsidR="00DC7E1E" w:rsidRDefault="00D00268">
      <w:pPr>
        <w:ind w:firstLineChars="200" w:firstLine="420"/>
        <w:rPr>
          <w:rFonts w:ascii="微软雅黑" w:eastAsia="微软雅黑" w:hAnsi="微软雅黑" w:cs="宋体"/>
          <w:kern w:val="0"/>
          <w:sz w:val="20"/>
          <w:szCs w:val="20"/>
        </w:rPr>
      </w:pPr>
      <w:r>
        <w:rPr>
          <w:rFonts w:asciiTheme="minorEastAsia" w:hAnsiTheme="minorEastAsia" w:hint="eastAsia"/>
          <w:szCs w:val="21"/>
        </w:rPr>
        <w:t>（一）自本产品成立起至本报告日，产品管理人恪尽职守、勤勉尽责、谨慎管理，忠实履行有关法律、行政法规和相关文件的规定。</w:t>
      </w:r>
      <w:r>
        <w:rPr>
          <w:rFonts w:asciiTheme="minorEastAsia" w:hAnsiTheme="minorEastAsia" w:hint="eastAsia"/>
          <w:szCs w:val="21"/>
        </w:rPr>
        <w:br/>
        <w:t xml:space="preserve">    </w:t>
      </w:r>
      <w:r>
        <w:rPr>
          <w:rFonts w:asciiTheme="minorEastAsia" w:hAnsiTheme="minorEastAsia" w:hint="eastAsia"/>
          <w:szCs w:val="21"/>
        </w:rPr>
        <w:t>（二</w:t>
      </w:r>
      <w:r>
        <w:rPr>
          <w:rFonts w:asciiTheme="minorEastAsia" w:hAnsiTheme="minorEastAsia" w:hint="eastAsia"/>
          <w:szCs w:val="21"/>
        </w:rPr>
        <w:t>）截至本报告日，所有投资资产正常运营，未发现有异常情况或者不利情况。</w:t>
      </w:r>
      <w:r>
        <w:rPr>
          <w:rFonts w:asciiTheme="minorEastAsia" w:hAnsiTheme="minorEastAsia" w:hint="eastAsia"/>
          <w:szCs w:val="21"/>
        </w:rPr>
        <w:br/>
        <w:t xml:space="preserve">    </w:t>
      </w:r>
      <w:r>
        <w:rPr>
          <w:rFonts w:asciiTheme="minorEastAsia" w:hAnsiTheme="minorEastAsia" w:hint="eastAsia"/>
          <w:szCs w:val="21"/>
        </w:rPr>
        <w:t>（三）本产品自成立至本报告日，没有发生涉诉等损害投资者利益的情形。</w:t>
      </w:r>
    </w:p>
    <w:p w:rsidR="00DC7E1E" w:rsidRDefault="00D00268">
      <w:pPr>
        <w:rPr>
          <w:rFonts w:asciiTheme="minorEastAsia" w:hAnsiTheme="minorEastAsia"/>
          <w:szCs w:val="21"/>
        </w:rPr>
      </w:pPr>
      <w:r>
        <w:rPr>
          <w:rFonts w:asciiTheme="minorEastAsia" w:hAnsiTheme="minorEastAsia" w:hint="eastAsia"/>
          <w:szCs w:val="21"/>
        </w:rPr>
        <w:t>九</w:t>
      </w:r>
      <w:r>
        <w:rPr>
          <w:rFonts w:asciiTheme="minorEastAsia" w:hAnsiTheme="minorEastAsia"/>
          <w:szCs w:val="21"/>
        </w:rPr>
        <w:t>、</w:t>
      </w:r>
      <w:r>
        <w:rPr>
          <w:rFonts w:asciiTheme="minorEastAsia" w:hAnsiTheme="minorEastAsia" w:hint="eastAsia"/>
          <w:szCs w:val="21"/>
        </w:rPr>
        <w:t>托管人报告</w:t>
      </w:r>
    </w:p>
    <w:p w:rsidR="00DC7E1E" w:rsidRDefault="00D00268">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本产品托管人为</w:t>
      </w:r>
      <w:r>
        <w:rPr>
          <w:rFonts w:asciiTheme="minorEastAsia" w:hAnsiTheme="minorEastAsia" w:cs="宋体" w:hint="eastAsia"/>
          <w:kern w:val="0"/>
        </w:rPr>
        <w:t>招商银行股份有限公司。</w:t>
      </w:r>
    </w:p>
    <w:p w:rsidR="00DC7E1E" w:rsidRDefault="00D00268">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（一）履职情况</w:t>
      </w:r>
    </w:p>
    <w:p w:rsidR="00DC7E1E" w:rsidRDefault="00D00268">
      <w:pPr>
        <w:rPr>
          <w:rFonts w:asciiTheme="minorEastAsia" w:hAnsiTheme="minorEastAsia"/>
          <w:szCs w:val="21"/>
        </w:rPr>
      </w:pPr>
      <w:r>
        <w:rPr>
          <w:rFonts w:asciiTheme="minorEastAsia" w:hAnsiTheme="minorEastAsia" w:hint="eastAsia"/>
          <w:szCs w:val="21"/>
        </w:rPr>
        <w:t xml:space="preserve">    1.</w:t>
      </w:r>
      <w:r>
        <w:rPr>
          <w:rFonts w:asciiTheme="minorEastAsia" w:hAnsiTheme="minorEastAsia" w:hint="eastAsia"/>
          <w:szCs w:val="21"/>
        </w:rPr>
        <w:t>托管资产保管</w:t>
      </w:r>
    </w:p>
    <w:p w:rsidR="00DC7E1E" w:rsidRDefault="00D00268">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托管资产独立于招商银行的自有资产及其托管的其他资产，不同投资账户之间的托管资产之间互相独立。</w:t>
      </w:r>
    </w:p>
    <w:p w:rsidR="00DC7E1E" w:rsidRDefault="00D00268">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托管人按照监管相关规定，完整保存与托管资产有关的会计档案、与托管资产有关的投资记录、指令和合同等。</w:t>
      </w:r>
    </w:p>
    <w:p w:rsidR="00DC7E1E" w:rsidRDefault="00D00268">
      <w:pPr>
        <w:rPr>
          <w:rFonts w:asciiTheme="minorEastAsia" w:hAnsiTheme="minorEastAsia"/>
          <w:szCs w:val="21"/>
        </w:rPr>
      </w:pPr>
      <w:r>
        <w:rPr>
          <w:rFonts w:asciiTheme="minorEastAsia" w:hAnsiTheme="minorEastAsia" w:hint="eastAsia"/>
          <w:szCs w:val="21"/>
        </w:rPr>
        <w:t xml:space="preserve">    2.</w:t>
      </w:r>
      <w:r>
        <w:rPr>
          <w:rFonts w:asciiTheme="minorEastAsia" w:hAnsiTheme="minorEastAsia" w:hint="eastAsia"/>
          <w:szCs w:val="21"/>
        </w:rPr>
        <w:t>会计核算和估值</w:t>
      </w:r>
    </w:p>
    <w:p w:rsidR="00DC7E1E" w:rsidRDefault="00D00268">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托管人与渝农商理财有限责任公司按照托管合同约定的统一记账方法和会计处理原则，独立地设置、登录和保管本产品的全套账册，进行会计核算和资产估值。</w:t>
      </w:r>
    </w:p>
    <w:p w:rsidR="00DC7E1E" w:rsidRDefault="00D00268">
      <w:pPr>
        <w:rPr>
          <w:rFonts w:asciiTheme="minorEastAsia" w:hAnsiTheme="minorEastAsia"/>
          <w:szCs w:val="21"/>
        </w:rPr>
      </w:pPr>
      <w:r>
        <w:rPr>
          <w:rFonts w:asciiTheme="minorEastAsia" w:hAnsiTheme="minorEastAsia" w:hint="eastAsia"/>
          <w:szCs w:val="21"/>
        </w:rPr>
        <w:t xml:space="preserve">    3.</w:t>
      </w:r>
      <w:r>
        <w:rPr>
          <w:rFonts w:asciiTheme="minorEastAsia" w:hAnsiTheme="minorEastAsia" w:hint="eastAsia"/>
          <w:szCs w:val="21"/>
        </w:rPr>
        <w:t>定期核对有关数据</w:t>
      </w:r>
    </w:p>
    <w:p w:rsidR="00DC7E1E" w:rsidRDefault="00D00268">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托管人根据托管协议约定与渝农商理财有限责任公司定期进行账务核对。</w:t>
      </w:r>
    </w:p>
    <w:p w:rsidR="00DC7E1E" w:rsidRDefault="00D00268">
      <w:pPr>
        <w:rPr>
          <w:rFonts w:asciiTheme="minorEastAsia" w:hAnsiTheme="minorEastAsia"/>
          <w:szCs w:val="21"/>
        </w:rPr>
      </w:pPr>
      <w:r>
        <w:rPr>
          <w:rFonts w:asciiTheme="minorEastAsia" w:hAnsiTheme="minorEastAsia" w:hint="eastAsia"/>
          <w:szCs w:val="21"/>
        </w:rPr>
        <w:t xml:space="preserve">    4.</w:t>
      </w:r>
      <w:r>
        <w:rPr>
          <w:rFonts w:asciiTheme="minorEastAsia" w:hAnsiTheme="minorEastAsia" w:hint="eastAsia"/>
          <w:szCs w:val="21"/>
        </w:rPr>
        <w:t>投资监督</w:t>
      </w:r>
    </w:p>
    <w:p w:rsidR="00DC7E1E" w:rsidRDefault="00D00268">
      <w:pPr>
        <w:rPr>
          <w:rFonts w:asciiTheme="minorEastAsia" w:hAnsiTheme="minorEastAsia"/>
          <w:szCs w:val="21"/>
        </w:rPr>
      </w:pPr>
      <w:r>
        <w:rPr>
          <w:rFonts w:asciiTheme="minorEastAsia" w:hAnsiTheme="minorEastAsia" w:hint="eastAsia"/>
          <w:szCs w:val="21"/>
        </w:rPr>
        <w:lastRenderedPageBreak/>
        <w:t xml:space="preserve">    </w:t>
      </w:r>
      <w:r>
        <w:rPr>
          <w:rFonts w:asciiTheme="minorEastAsia" w:hAnsiTheme="minorEastAsia" w:hint="eastAsia"/>
          <w:szCs w:val="21"/>
        </w:rPr>
        <w:t>招商银行根据法规、托管协议以及双方约定的投资监督条款，对渝农商理财江渝</w:t>
      </w:r>
      <w:proofErr w:type="gramStart"/>
      <w:r>
        <w:rPr>
          <w:rFonts w:asciiTheme="minorEastAsia" w:hAnsiTheme="minorEastAsia" w:hint="eastAsia"/>
          <w:szCs w:val="21"/>
        </w:rPr>
        <w:t>财富天</w:t>
      </w:r>
      <w:proofErr w:type="gramEnd"/>
      <w:r>
        <w:rPr>
          <w:rFonts w:asciiTheme="minorEastAsia" w:hAnsiTheme="minorEastAsia" w:hint="eastAsia"/>
          <w:szCs w:val="21"/>
        </w:rPr>
        <w:t>添金兴时</w:t>
      </w:r>
      <w:r>
        <w:rPr>
          <w:rFonts w:asciiTheme="minorEastAsia" w:hAnsiTheme="minorEastAsia" w:hint="eastAsia"/>
          <w:szCs w:val="21"/>
        </w:rPr>
        <w:t>9</w:t>
      </w:r>
      <w:r>
        <w:rPr>
          <w:rFonts w:asciiTheme="minorEastAsia" w:hAnsiTheme="minorEastAsia" w:hint="eastAsia"/>
          <w:szCs w:val="21"/>
        </w:rPr>
        <w:t>个月定开</w:t>
      </w:r>
      <w:r>
        <w:rPr>
          <w:rFonts w:asciiTheme="minorEastAsia" w:hAnsiTheme="minorEastAsia" w:hint="eastAsia"/>
          <w:szCs w:val="21"/>
        </w:rPr>
        <w:t>1</w:t>
      </w:r>
      <w:r>
        <w:rPr>
          <w:rFonts w:asciiTheme="minorEastAsia" w:hAnsiTheme="minorEastAsia" w:hint="eastAsia"/>
          <w:szCs w:val="21"/>
        </w:rPr>
        <w:t>号理财产品的投资行为进行监督。</w:t>
      </w:r>
    </w:p>
    <w:p w:rsidR="00DC7E1E" w:rsidRDefault="00D00268">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（二）托管人声明</w:t>
      </w:r>
    </w:p>
    <w:p w:rsidR="00DC7E1E" w:rsidRDefault="00D00268">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招商银行具备完善的公司治理结构、内部稽核监控制度和风险控制制度，</w:t>
      </w:r>
      <w:r>
        <w:rPr>
          <w:rFonts w:asciiTheme="minorEastAsia" w:hAnsiTheme="minorEastAsia" w:hint="eastAsia"/>
          <w:szCs w:val="21"/>
        </w:rPr>
        <w:t xml:space="preserve"> </w:t>
      </w:r>
      <w:r>
        <w:rPr>
          <w:rFonts w:asciiTheme="minorEastAsia" w:hAnsiTheme="minorEastAsia" w:hint="eastAsia"/>
          <w:szCs w:val="21"/>
        </w:rPr>
        <w:t>在对渝农商理财江渝</w:t>
      </w:r>
      <w:proofErr w:type="gramStart"/>
      <w:r>
        <w:rPr>
          <w:rFonts w:asciiTheme="minorEastAsia" w:hAnsiTheme="minorEastAsia" w:hint="eastAsia"/>
          <w:szCs w:val="21"/>
        </w:rPr>
        <w:t>财富天</w:t>
      </w:r>
      <w:proofErr w:type="gramEnd"/>
      <w:r>
        <w:rPr>
          <w:rFonts w:asciiTheme="minorEastAsia" w:hAnsiTheme="minorEastAsia" w:hint="eastAsia"/>
          <w:szCs w:val="21"/>
        </w:rPr>
        <w:t>添金兴时</w:t>
      </w:r>
      <w:r>
        <w:rPr>
          <w:rFonts w:asciiTheme="minorEastAsia" w:hAnsiTheme="minorEastAsia" w:hint="eastAsia"/>
          <w:szCs w:val="21"/>
        </w:rPr>
        <w:t>9</w:t>
      </w:r>
      <w:r>
        <w:rPr>
          <w:rFonts w:asciiTheme="minorEastAsia" w:hAnsiTheme="minorEastAsia" w:hint="eastAsia"/>
          <w:szCs w:val="21"/>
        </w:rPr>
        <w:t>个月定开</w:t>
      </w:r>
      <w:r>
        <w:rPr>
          <w:rFonts w:asciiTheme="minorEastAsia" w:hAnsiTheme="minorEastAsia" w:hint="eastAsia"/>
          <w:szCs w:val="21"/>
        </w:rPr>
        <w:t>1</w:t>
      </w:r>
      <w:r>
        <w:rPr>
          <w:rFonts w:asciiTheme="minorEastAsia" w:hAnsiTheme="minorEastAsia" w:hint="eastAsia"/>
          <w:szCs w:val="21"/>
        </w:rPr>
        <w:t>号理财产品托管的过程中，严格遵守有关法律法规、托管协议的规定，尽职尽责地履行托管义务并安全保管托管资产。</w:t>
      </w:r>
    </w:p>
    <w:p w:rsidR="00DC7E1E" w:rsidRDefault="00DC7E1E">
      <w:pPr>
        <w:spacing w:line="480" w:lineRule="exact"/>
        <w:rPr>
          <w:rFonts w:asciiTheme="minorEastAsia" w:hAnsiTheme="minorEastAsia"/>
          <w:szCs w:val="21"/>
        </w:rPr>
      </w:pPr>
    </w:p>
    <w:p w:rsidR="00DC7E1E" w:rsidRDefault="00DC7E1E">
      <w:pPr>
        <w:spacing w:line="480" w:lineRule="exact"/>
        <w:rPr>
          <w:rFonts w:asciiTheme="minorEastAsia" w:hAnsiTheme="minorEastAsia"/>
          <w:szCs w:val="21"/>
        </w:rPr>
      </w:pPr>
    </w:p>
    <w:p w:rsidR="00DC7E1E" w:rsidRDefault="00D00268">
      <w:pPr>
        <w:spacing w:line="480" w:lineRule="exact"/>
        <w:ind w:firstLineChars="150" w:firstLine="315"/>
        <w:jc w:val="right"/>
        <w:rPr>
          <w:rFonts w:asciiTheme="minorEastAsia" w:hAnsiTheme="minorEastAsia"/>
          <w:szCs w:val="21"/>
        </w:rPr>
      </w:pPr>
      <w:proofErr w:type="gramStart"/>
      <w:r>
        <w:rPr>
          <w:rFonts w:asciiTheme="minorEastAsia" w:hAnsiTheme="minorEastAsia" w:hint="eastAsia"/>
          <w:szCs w:val="21"/>
        </w:rPr>
        <w:t>渝</w:t>
      </w:r>
      <w:proofErr w:type="gramEnd"/>
      <w:r>
        <w:rPr>
          <w:rFonts w:asciiTheme="minorEastAsia" w:hAnsiTheme="minorEastAsia" w:hint="eastAsia"/>
          <w:szCs w:val="21"/>
        </w:rPr>
        <w:t>农商理财有限责任公司</w:t>
      </w:r>
    </w:p>
    <w:p w:rsidR="00DC7E1E" w:rsidRDefault="00D00268">
      <w:pPr>
        <w:spacing w:line="480" w:lineRule="exact"/>
        <w:ind w:right="420" w:firstLineChars="150" w:firstLine="315"/>
        <w:jc w:val="right"/>
        <w:rPr>
          <w:rFonts w:asciiTheme="minorEastAsia" w:hAnsiTheme="minorEastAsia"/>
          <w:szCs w:val="21"/>
        </w:rPr>
      </w:pPr>
      <w:r>
        <w:rPr>
          <w:rFonts w:asciiTheme="minorEastAsia" w:hAnsiTheme="minorEastAsia"/>
          <w:szCs w:val="21"/>
        </w:rPr>
        <w:t>2021</w:t>
      </w:r>
      <w:r>
        <w:rPr>
          <w:rFonts w:asciiTheme="minorEastAsia" w:hAnsiTheme="minorEastAsia" w:hint="eastAsia"/>
          <w:szCs w:val="21"/>
        </w:rPr>
        <w:t>年</w:t>
      </w:r>
      <w:r>
        <w:rPr>
          <w:rFonts w:asciiTheme="minorEastAsia" w:hAnsiTheme="minorEastAsia" w:hint="eastAsia"/>
          <w:szCs w:val="21"/>
        </w:rPr>
        <w:t>7</w:t>
      </w:r>
      <w:r>
        <w:rPr>
          <w:rFonts w:asciiTheme="minorEastAsia" w:hAnsiTheme="minorEastAsia" w:hint="eastAsia"/>
          <w:szCs w:val="21"/>
        </w:rPr>
        <w:t>月</w:t>
      </w:r>
      <w:r>
        <w:rPr>
          <w:rFonts w:asciiTheme="minorEastAsia" w:hAnsiTheme="minorEastAsia" w:hint="eastAsia"/>
          <w:szCs w:val="21"/>
        </w:rPr>
        <w:t>21</w:t>
      </w:r>
      <w:r>
        <w:rPr>
          <w:rFonts w:asciiTheme="minorEastAsia" w:hAnsiTheme="minorEastAsia" w:hint="eastAsia"/>
          <w:szCs w:val="21"/>
        </w:rPr>
        <w:t>日</w:t>
      </w:r>
    </w:p>
    <w:p w:rsidR="00DC7E1E" w:rsidRDefault="00DC7E1E">
      <w:pPr>
        <w:rPr>
          <w:rFonts w:asciiTheme="minorEastAsia" w:hAnsiTheme="minorEastAsia"/>
          <w:szCs w:val="21"/>
        </w:rPr>
      </w:pPr>
    </w:p>
    <w:p w:rsidR="00DC7E1E" w:rsidRDefault="00DC7E1E">
      <w:pPr>
        <w:spacing w:line="480" w:lineRule="exact"/>
        <w:rPr>
          <w:rFonts w:asciiTheme="minorEastAsia" w:hAnsiTheme="minorEastAsia"/>
          <w:szCs w:val="21"/>
        </w:rPr>
      </w:pPr>
    </w:p>
    <w:bookmarkEnd w:id="0"/>
    <w:p w:rsidR="00DC7E1E" w:rsidRDefault="00DC7E1E"/>
    <w:sectPr w:rsidR="00DC7E1E">
      <w:pgSz w:w="11906" w:h="16838"/>
      <w:pgMar w:top="1440" w:right="1800" w:bottom="1440" w:left="1800" w:header="851" w:footer="992" w:gutter="0"/>
      <w:pgNumType w:start="0"/>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CBA15C9"/>
    <w:multiLevelType w:val="singleLevel"/>
    <w:tmpl w:val="FCBA15C9"/>
    <w:lvl w:ilvl="0">
      <w:start w:val="4"/>
      <w:numFmt w:val="chineseCounting"/>
      <w:suff w:val="nothing"/>
      <w:lvlText w:val="%1、"/>
      <w:lvlJc w:val="left"/>
      <w:rPr>
        <w:rFonts w:hint="eastAsia"/>
      </w:rPr>
    </w:lvl>
  </w:abstractNum>
  <w:abstractNum w:abstractNumId="1" w15:restartNumberingAfterBreak="0">
    <w:nsid w:val="0B292D14"/>
    <w:multiLevelType w:val="singleLevel"/>
    <w:tmpl w:val="0B292D14"/>
    <w:lvl w:ilvl="0">
      <w:start w:val="3"/>
      <w:numFmt w:val="chineseCounting"/>
      <w:suff w:val="space"/>
      <w:lvlText w:val="（%1）"/>
      <w:lvlJc w:val="left"/>
      <w:rPr>
        <w:rFonts w:hint="eastAsia"/>
      </w:rPr>
    </w:lvl>
  </w:abstractNum>
  <w:abstractNum w:abstractNumId="2" w15:restartNumberingAfterBreak="0">
    <w:nsid w:val="50DF2F09"/>
    <w:multiLevelType w:val="multilevel"/>
    <w:tmpl w:val="50DF2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268"/>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C7E1E"/>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7EE2529"/>
    <w:rsid w:val="081F1FB9"/>
    <w:rsid w:val="08613963"/>
    <w:rsid w:val="08717181"/>
    <w:rsid w:val="08783007"/>
    <w:rsid w:val="08BA008A"/>
    <w:rsid w:val="09563133"/>
    <w:rsid w:val="099A2105"/>
    <w:rsid w:val="0F5374F0"/>
    <w:rsid w:val="0FB525EE"/>
    <w:rsid w:val="0FC53136"/>
    <w:rsid w:val="0FE909DC"/>
    <w:rsid w:val="109116D6"/>
    <w:rsid w:val="12570CDF"/>
    <w:rsid w:val="12931977"/>
    <w:rsid w:val="12BD274E"/>
    <w:rsid w:val="13814A1B"/>
    <w:rsid w:val="145B1C45"/>
    <w:rsid w:val="154F13DA"/>
    <w:rsid w:val="15F40A44"/>
    <w:rsid w:val="16344310"/>
    <w:rsid w:val="168610F5"/>
    <w:rsid w:val="182721AC"/>
    <w:rsid w:val="18FB1CF2"/>
    <w:rsid w:val="197D5ABF"/>
    <w:rsid w:val="19A54864"/>
    <w:rsid w:val="1AB60040"/>
    <w:rsid w:val="1BDE0CAD"/>
    <w:rsid w:val="1C760FBE"/>
    <w:rsid w:val="1D3F0AD5"/>
    <w:rsid w:val="1E3E6164"/>
    <w:rsid w:val="1F4F358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84A1DB9"/>
    <w:rsid w:val="399F28EF"/>
    <w:rsid w:val="39BA6599"/>
    <w:rsid w:val="3A422C5A"/>
    <w:rsid w:val="3F3D76DD"/>
    <w:rsid w:val="422B2661"/>
    <w:rsid w:val="426224A6"/>
    <w:rsid w:val="42982300"/>
    <w:rsid w:val="43250476"/>
    <w:rsid w:val="436F283E"/>
    <w:rsid w:val="44307945"/>
    <w:rsid w:val="45B31BF8"/>
    <w:rsid w:val="472D2614"/>
    <w:rsid w:val="48073C94"/>
    <w:rsid w:val="4897220E"/>
    <w:rsid w:val="48C804F4"/>
    <w:rsid w:val="49343EE8"/>
    <w:rsid w:val="49364B27"/>
    <w:rsid w:val="499E1B50"/>
    <w:rsid w:val="4B1E5A56"/>
    <w:rsid w:val="4BE87463"/>
    <w:rsid w:val="4C665F1D"/>
    <w:rsid w:val="4CC0510F"/>
    <w:rsid w:val="4DF0263F"/>
    <w:rsid w:val="4E6C5390"/>
    <w:rsid w:val="4F05414C"/>
    <w:rsid w:val="51EC6135"/>
    <w:rsid w:val="572F2943"/>
    <w:rsid w:val="57D83C46"/>
    <w:rsid w:val="586214C2"/>
    <w:rsid w:val="590A25B0"/>
    <w:rsid w:val="5A622306"/>
    <w:rsid w:val="5AB01723"/>
    <w:rsid w:val="5D5E2859"/>
    <w:rsid w:val="5D6177FD"/>
    <w:rsid w:val="621F0476"/>
    <w:rsid w:val="6230351A"/>
    <w:rsid w:val="63D37DC1"/>
    <w:rsid w:val="671D7CC1"/>
    <w:rsid w:val="675A1E02"/>
    <w:rsid w:val="687C70C4"/>
    <w:rsid w:val="69074462"/>
    <w:rsid w:val="695E0C31"/>
    <w:rsid w:val="6A250A96"/>
    <w:rsid w:val="6C9B0C01"/>
    <w:rsid w:val="6D5B3725"/>
    <w:rsid w:val="6E546A74"/>
    <w:rsid w:val="6FA67F07"/>
    <w:rsid w:val="6FC95D9C"/>
    <w:rsid w:val="70314F7E"/>
    <w:rsid w:val="73322D14"/>
    <w:rsid w:val="75736568"/>
    <w:rsid w:val="75DF65EA"/>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0FED83-C63B-4EF7-B9B3-EF83EAEF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numPr>
        <w:numId w:val="1"/>
      </w:numPr>
      <w:spacing w:before="340" w:after="330" w:line="578" w:lineRule="auto"/>
      <w:outlineLvl w:val="0"/>
    </w:pPr>
    <w:rPr>
      <w:b/>
      <w:bCs/>
      <w:kern w:val="44"/>
      <w:sz w:val="28"/>
      <w:szCs w:val="44"/>
    </w:rPr>
  </w:style>
  <w:style w:type="paragraph" w:styleId="2">
    <w:name w:val="heading 2"/>
    <w:basedOn w:val="a"/>
    <w:next w:val="a"/>
    <w:link w:val="2Char"/>
    <w:uiPriority w:val="9"/>
    <w:unhideWhenUsed/>
    <w:qFormat/>
    <w:pPr>
      <w:keepNext/>
      <w:keepLines/>
      <w:numPr>
        <w:ilvl w:val="1"/>
        <w:numId w:val="1"/>
      </w:numPr>
      <w:spacing w:before="260" w:after="260" w:line="416" w:lineRule="auto"/>
      <w:outlineLvl w:val="1"/>
    </w:pPr>
    <w:rPr>
      <w:rFonts w:asciiTheme="majorHAnsi" w:eastAsiaTheme="majorEastAsia" w:hAnsiTheme="majorHAnsi" w:cstheme="majorBidi"/>
      <w:b/>
      <w:bCs/>
      <w:sz w:val="28"/>
      <w:szCs w:val="32"/>
    </w:rPr>
  </w:style>
  <w:style w:type="paragraph" w:styleId="3">
    <w:name w:val="heading 3"/>
    <w:basedOn w:val="a"/>
    <w:next w:val="a"/>
    <w:link w:val="3Char"/>
    <w:uiPriority w:val="9"/>
    <w:unhideWhenUsed/>
    <w:qFormat/>
    <w:pPr>
      <w:keepNext/>
      <w:keepLines/>
      <w:numPr>
        <w:ilvl w:val="2"/>
        <w:numId w:val="1"/>
      </w:numPr>
      <w:spacing w:before="260" w:after="260" w:line="416" w:lineRule="auto"/>
      <w:outlineLvl w:val="2"/>
    </w:pPr>
    <w:rPr>
      <w:b/>
      <w:bCs/>
      <w:sz w:val="24"/>
      <w:szCs w:val="32"/>
    </w:rPr>
  </w:style>
  <w:style w:type="paragraph" w:styleId="4">
    <w:name w:val="heading 4"/>
    <w:basedOn w:val="a"/>
    <w:next w:val="a"/>
    <w:link w:val="4Char"/>
    <w:uiPriority w:val="9"/>
    <w:unhideWhenUsed/>
    <w:qFormat/>
    <w:pPr>
      <w:keepNext/>
      <w:keepLines/>
      <w:numPr>
        <w:ilvl w:val="3"/>
        <w:numId w:val="1"/>
      </w:numPr>
      <w:spacing w:before="280" w:after="290" w:line="376" w:lineRule="auto"/>
      <w:outlineLvl w:val="3"/>
    </w:pPr>
    <w:rPr>
      <w:rFonts w:asciiTheme="majorHAnsi" w:eastAsiaTheme="majorEastAsia" w:hAnsiTheme="majorHAnsi" w:cstheme="majorBidi"/>
      <w:b/>
      <w:bCs/>
      <w:sz w:val="24"/>
      <w:szCs w:val="28"/>
    </w:rPr>
  </w:style>
  <w:style w:type="paragraph" w:styleId="5">
    <w:name w:val="heading 5"/>
    <w:basedOn w:val="a"/>
    <w:next w:val="a"/>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uiPriority w:val="9"/>
    <w:unhideWhenUsed/>
    <w:qFormat/>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uiPriority w:val="9"/>
    <w:unhideWhenUsed/>
    <w:qFormat/>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30">
    <w:name w:val="toc 3"/>
    <w:basedOn w:val="a"/>
    <w:next w:val="a"/>
    <w:uiPriority w:val="39"/>
    <w:unhideWhenUsed/>
    <w:qFormat/>
    <w:pPr>
      <w:ind w:leftChars="400" w:left="84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7">
    <w:name w:val="annotation subject"/>
    <w:basedOn w:val="a3"/>
    <w:next w:val="a3"/>
    <w:link w:val="Char3"/>
    <w:uiPriority w:val="99"/>
    <w:unhideWhenUsed/>
    <w:qFormat/>
    <w:rPr>
      <w:b/>
      <w:bCs/>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563C1" w:themeColor="hyperlink"/>
      <w:u w:val="single"/>
    </w:rPr>
  </w:style>
  <w:style w:type="character" w:styleId="aa">
    <w:name w:val="annotation reference"/>
    <w:basedOn w:val="a0"/>
    <w:uiPriority w:val="99"/>
    <w:unhideWhenUsed/>
    <w:qFormat/>
    <w:rPr>
      <w:sz w:val="21"/>
      <w:szCs w:val="21"/>
    </w:rPr>
  </w:style>
  <w:style w:type="character" w:customStyle="1" w:styleId="1Char">
    <w:name w:val="标题 1 Char"/>
    <w:basedOn w:val="a0"/>
    <w:link w:val="1"/>
    <w:uiPriority w:val="9"/>
    <w:qFormat/>
    <w:rPr>
      <w:b/>
      <w:bCs/>
      <w:kern w:val="44"/>
      <w:sz w:val="28"/>
      <w:szCs w:val="44"/>
    </w:rPr>
  </w:style>
  <w:style w:type="character" w:customStyle="1" w:styleId="2Char">
    <w:name w:val="标题 2 Char"/>
    <w:basedOn w:val="a0"/>
    <w:link w:val="2"/>
    <w:uiPriority w:val="9"/>
    <w:qFormat/>
    <w:rPr>
      <w:rFonts w:asciiTheme="majorHAnsi" w:eastAsiaTheme="majorEastAsia" w:hAnsiTheme="majorHAnsi" w:cstheme="majorBidi"/>
      <w:b/>
      <w:bCs/>
      <w:sz w:val="28"/>
      <w:szCs w:val="32"/>
    </w:rPr>
  </w:style>
  <w:style w:type="character" w:customStyle="1" w:styleId="3Char">
    <w:name w:val="标题 3 Char"/>
    <w:basedOn w:val="a0"/>
    <w:link w:val="3"/>
    <w:uiPriority w:val="9"/>
    <w:qFormat/>
    <w:rPr>
      <w:b/>
      <w:bCs/>
      <w:sz w:val="24"/>
      <w:szCs w:val="32"/>
    </w:rPr>
  </w:style>
  <w:style w:type="character" w:customStyle="1" w:styleId="4Char">
    <w:name w:val="标题 4 Char"/>
    <w:basedOn w:val="a0"/>
    <w:link w:val="4"/>
    <w:uiPriority w:val="9"/>
    <w:qFormat/>
    <w:rPr>
      <w:rFonts w:asciiTheme="majorHAnsi" w:eastAsiaTheme="majorEastAsia" w:hAnsiTheme="majorHAnsi" w:cstheme="majorBidi"/>
      <w:b/>
      <w:bCs/>
      <w:sz w:val="24"/>
      <w:szCs w:val="28"/>
    </w:rPr>
  </w:style>
  <w:style w:type="character" w:customStyle="1" w:styleId="5Char">
    <w:name w:val="标题 5 Char"/>
    <w:basedOn w:val="a0"/>
    <w:link w:val="5"/>
    <w:uiPriority w:val="9"/>
    <w:semiHidden/>
    <w:qFormat/>
    <w:rPr>
      <w:b/>
      <w:bCs/>
      <w:sz w:val="28"/>
      <w:szCs w:val="28"/>
    </w:rPr>
  </w:style>
  <w:style w:type="character" w:customStyle="1" w:styleId="6Char">
    <w:name w:val="标题 6 Char"/>
    <w:basedOn w:val="a0"/>
    <w:link w:val="6"/>
    <w:uiPriority w:val="9"/>
    <w:semiHidden/>
    <w:qFormat/>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Pr>
      <w:b/>
      <w:bCs/>
      <w:sz w:val="24"/>
      <w:szCs w:val="24"/>
    </w:rPr>
  </w:style>
  <w:style w:type="character" w:customStyle="1" w:styleId="8Char">
    <w:name w:val="标题 8 Char"/>
    <w:basedOn w:val="a0"/>
    <w:link w:val="8"/>
    <w:uiPriority w:val="9"/>
    <w:semiHidden/>
    <w:qFormat/>
    <w:rPr>
      <w:rFonts w:asciiTheme="majorHAnsi" w:eastAsiaTheme="majorEastAsia" w:hAnsiTheme="majorHAnsi" w:cstheme="majorBidi"/>
      <w:sz w:val="24"/>
      <w:szCs w:val="24"/>
    </w:rPr>
  </w:style>
  <w:style w:type="character" w:customStyle="1" w:styleId="9Char">
    <w:name w:val="标题 9 Char"/>
    <w:basedOn w:val="a0"/>
    <w:link w:val="9"/>
    <w:uiPriority w:val="9"/>
    <w:semiHidden/>
    <w:qFormat/>
    <w:rPr>
      <w:rFonts w:asciiTheme="majorHAnsi" w:eastAsiaTheme="majorEastAsia" w:hAnsiTheme="majorHAnsi" w:cstheme="majorBidi"/>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11">
    <w:name w:val="列出段落1"/>
    <w:basedOn w:val="a"/>
    <w:uiPriority w:val="99"/>
    <w:qFormat/>
    <w:pPr>
      <w:ind w:firstLineChars="200" w:firstLine="420"/>
    </w:pPr>
  </w:style>
  <w:style w:type="paragraph" w:customStyle="1" w:styleId="TOC1">
    <w:name w:val="TOC 标题1"/>
    <w:basedOn w:val="1"/>
    <w:next w:val="a"/>
    <w:uiPriority w:val="39"/>
    <w:unhideWhenUsed/>
    <w:qFormat/>
    <w:pPr>
      <w:widowControl/>
      <w:numPr>
        <w:numId w:val="0"/>
      </w:numPr>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character" w:customStyle="1" w:styleId="font31">
    <w:name w:val="font31"/>
    <w:basedOn w:val="a0"/>
    <w:qFormat/>
    <w:rPr>
      <w:rFonts w:ascii="Microsoft JhengHei" w:eastAsia="Microsoft JhengHei" w:hAnsi="Microsoft JhengHei" w:cs="Microsoft JhengHei" w:hint="eastAsia"/>
      <w:b/>
      <w:color w:val="000000"/>
      <w:sz w:val="21"/>
      <w:szCs w:val="21"/>
      <w:u w:val="none"/>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31349">
      <w:bodyDiv w:val="1"/>
      <w:marLeft w:val="0"/>
      <w:marRight w:val="0"/>
      <w:marTop w:val="0"/>
      <w:marBottom w:val="0"/>
      <w:divBdr>
        <w:top w:val="none" w:sz="0" w:space="0" w:color="auto"/>
        <w:left w:val="none" w:sz="0" w:space="0" w:color="auto"/>
        <w:bottom w:val="none" w:sz="0" w:space="0" w:color="auto"/>
        <w:right w:val="none" w:sz="0" w:space="0" w:color="auto"/>
      </w:divBdr>
    </w:div>
    <w:div w:id="1123382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0EE5-9F4B-4C48-91B2-29462B24F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453</Words>
  <Characters>2584</Characters>
  <Application>Microsoft Office Word</Application>
  <DocSecurity>0</DocSecurity>
  <Lines>21</Lines>
  <Paragraphs>6</Paragraphs>
  <ScaleCrop>false</ScaleCrop>
  <Company>HP Inc.</Company>
  <LinksUpToDate>false</LinksUpToDate>
  <CharactersWithSpaces>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nsh</dc:creator>
  <cp:lastModifiedBy>邓鑫</cp:lastModifiedBy>
  <cp:revision>94</cp:revision>
  <cp:lastPrinted>2021-04-20T11:05:00Z</cp:lastPrinted>
  <dcterms:created xsi:type="dcterms:W3CDTF">2019-10-11T11:39:00Z</dcterms:created>
  <dcterms:modified xsi:type="dcterms:W3CDTF">2021-09-10T08:23:00Z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