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渝农商理财有限责任公司渝农商理财江渝财富天添金兴时</w:t>
      </w:r>
      <w:r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  <w:t>9个月定开3号</w:t>
      </w:r>
      <w:r>
        <w:rPr>
          <w:rFonts w:asciiTheme="majorEastAsia" w:hAnsiTheme="majorEastAsia" w:eastAsiaTheme="majorEastAsia"/>
          <w:b/>
          <w:sz w:val="32"/>
          <w:szCs w:val="32"/>
        </w:rPr>
        <w:t>理财产品调整公告</w:t>
      </w:r>
    </w:p>
    <w:p>
      <w:pPr>
        <w:jc w:val="left"/>
        <w:rPr>
          <w:sz w:val="22"/>
        </w:rPr>
      </w:pP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/>
        <w:jc w:val="left"/>
        <w:rPr>
          <w:rFonts w:cs="Arial" w:asciiTheme="minorEastAsia" w:hAnsiTheme="minorEastAsia"/>
          <w:color w:val="000000"/>
          <w:szCs w:val="21"/>
        </w:rPr>
      </w:pPr>
      <w:r>
        <w:rPr>
          <w:rFonts w:hint="eastAsia" w:cs="Arial" w:asciiTheme="minorEastAsia" w:hAnsiTheme="minorEastAsia"/>
          <w:color w:val="000000"/>
          <w:szCs w:val="21"/>
        </w:rPr>
        <w:t>根据</w:t>
      </w:r>
      <w:r>
        <w:rPr>
          <w:rFonts w:cs="Arial" w:asciiTheme="minorEastAsia" w:hAnsiTheme="minorEastAsia"/>
          <w:color w:val="000000"/>
          <w:szCs w:val="21"/>
        </w:rPr>
        <w:t>产品运作需要，渝农商理财有限责任公司将在</w:t>
      </w:r>
      <w:r>
        <w:rPr>
          <w:rFonts w:hint="eastAsia" w:asciiTheme="minorEastAsia" w:hAnsiTheme="minorEastAsia"/>
          <w:szCs w:val="21"/>
        </w:rPr>
        <w:t>渝农商理财江渝财富天添金兴时</w:t>
      </w:r>
      <w:r>
        <w:rPr>
          <w:rFonts w:hint="eastAsia" w:asciiTheme="minorEastAsia" w:hAnsiTheme="minorEastAsia"/>
          <w:szCs w:val="21"/>
          <w:lang w:eastAsia="zh-CN"/>
        </w:rPr>
        <w:t>9个月定开3号</w:t>
      </w:r>
      <w:r>
        <w:rPr>
          <w:rFonts w:cs="Arial" w:asciiTheme="minorEastAsia" w:hAnsiTheme="minorEastAsia"/>
          <w:color w:val="000000"/>
          <w:szCs w:val="21"/>
        </w:rPr>
        <w:t>理财产品下一投资周期起</w:t>
      </w:r>
      <w:r>
        <w:rPr>
          <w:rFonts w:hint="eastAsia" w:cs="Arial" w:asciiTheme="minorEastAsia" w:hAnsiTheme="minorEastAsia"/>
          <w:color w:val="000000"/>
          <w:szCs w:val="21"/>
        </w:rPr>
        <w:t>，对</w:t>
      </w:r>
      <w:r>
        <w:rPr>
          <w:rFonts w:cs="Arial" w:asciiTheme="minorEastAsia" w:hAnsiTheme="minorEastAsia"/>
          <w:color w:val="000000"/>
          <w:szCs w:val="21"/>
        </w:rPr>
        <w:t>业绩比较基准和</w:t>
      </w:r>
      <w:r>
        <w:rPr>
          <w:rFonts w:hint="eastAsia" w:cs="Arial" w:asciiTheme="minorEastAsia" w:hAnsiTheme="minorEastAsia"/>
          <w:color w:val="000000"/>
          <w:szCs w:val="21"/>
        </w:rPr>
        <w:t>部分费率</w:t>
      </w:r>
      <w:r>
        <w:rPr>
          <w:rFonts w:cs="Arial" w:asciiTheme="minorEastAsia" w:hAnsiTheme="minorEastAsia"/>
          <w:color w:val="000000"/>
          <w:szCs w:val="21"/>
        </w:rPr>
        <w:t>进行</w:t>
      </w:r>
      <w:r>
        <w:rPr>
          <w:rFonts w:hint="eastAsia" w:cs="Arial" w:asciiTheme="minorEastAsia" w:hAnsiTheme="minorEastAsia"/>
          <w:color w:val="000000"/>
          <w:szCs w:val="21"/>
        </w:rPr>
        <w:t>调整，</w:t>
      </w:r>
      <w:r>
        <w:rPr>
          <w:rFonts w:cs="Arial" w:asciiTheme="minorEastAsia" w:hAnsiTheme="minorEastAsia"/>
          <w:color w:val="000000"/>
          <w:szCs w:val="21"/>
        </w:rPr>
        <w:t>具体调整</w:t>
      </w:r>
      <w:r>
        <w:rPr>
          <w:rFonts w:hint="eastAsia" w:cs="Arial" w:asciiTheme="minorEastAsia" w:hAnsiTheme="minorEastAsia"/>
          <w:color w:val="000000"/>
          <w:szCs w:val="21"/>
        </w:rPr>
        <w:t>内容</w:t>
      </w:r>
      <w:r>
        <w:rPr>
          <w:rFonts w:cs="Arial" w:asciiTheme="minorEastAsia" w:hAnsiTheme="minorEastAsia"/>
          <w:color w:val="000000"/>
          <w:szCs w:val="21"/>
        </w:rPr>
        <w:t>如下：</w:t>
      </w:r>
    </w:p>
    <w:tbl>
      <w:tblPr>
        <w:tblStyle w:val="5"/>
        <w:tblW w:w="83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3260"/>
        <w:gridCol w:w="29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产品名称及编号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调整内容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调整后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09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渝农商理财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江渝财富天添金兴时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9个月定开3号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理财产品（2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GSGK4100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业绩比较基准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0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固定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管理费率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0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销售服务费率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0.10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%</w:t>
            </w:r>
          </w:p>
        </w:tc>
      </w:tr>
    </w:tbl>
    <w:p>
      <w:pPr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本次</w:t>
      </w:r>
      <w:r>
        <w:rPr>
          <w:rFonts w:hint="eastAsia" w:asciiTheme="minorEastAsia" w:hAnsiTheme="minorEastAsia"/>
          <w:szCs w:val="21"/>
        </w:rPr>
        <w:t>调整</w:t>
      </w:r>
      <w:r>
        <w:rPr>
          <w:rFonts w:asciiTheme="minorEastAsia" w:hAnsiTheme="minorEastAsia"/>
          <w:szCs w:val="21"/>
        </w:rPr>
        <w:t>后的理财产品销售文件自2021年1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asciiTheme="minorEastAsia" w:hAnsiTheme="minorEastAsia"/>
          <w:szCs w:val="21"/>
        </w:rPr>
        <w:t>日生效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调整后的销售文件以销售服务机构展示为准</w:t>
      </w:r>
      <w:r>
        <w:rPr>
          <w:rFonts w:hint="eastAsia" w:asciiTheme="minorEastAsia" w:hAnsiTheme="minorEastAsia"/>
          <w:szCs w:val="21"/>
        </w:rPr>
        <w:t>。</w:t>
      </w:r>
      <w:r>
        <w:rPr>
          <w:rFonts w:asciiTheme="minorEastAsia" w:hAnsiTheme="minorEastAsia"/>
          <w:szCs w:val="21"/>
        </w:rPr>
        <w:t>若不接受本次产品管理人对理财产品销售文件</w:t>
      </w:r>
      <w:r>
        <w:rPr>
          <w:rFonts w:hint="eastAsia" w:asciiTheme="minorEastAsia" w:hAnsiTheme="minorEastAsia"/>
          <w:szCs w:val="21"/>
        </w:rPr>
        <w:t>的</w:t>
      </w:r>
      <w:r>
        <w:rPr>
          <w:rFonts w:asciiTheme="minorEastAsia" w:hAnsiTheme="minorEastAsia"/>
          <w:szCs w:val="21"/>
        </w:rPr>
        <w:t>调整，投资者可在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开放日</w:t>
      </w:r>
      <w:r>
        <w:rPr>
          <w:rFonts w:hint="eastAsia" w:asciiTheme="minorEastAsia" w:hAnsiTheme="minorEastAsia"/>
          <w:szCs w:val="21"/>
        </w:rPr>
        <w:t>（2</w:t>
      </w:r>
      <w:r>
        <w:rPr>
          <w:rFonts w:asciiTheme="minorEastAsia" w:hAnsiTheme="minorEastAsia"/>
          <w:szCs w:val="21"/>
        </w:rPr>
        <w:t>021年</w:t>
      </w:r>
      <w:r>
        <w:rPr>
          <w:rFonts w:hint="eastAsia"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）</w:t>
      </w:r>
      <w:r>
        <w:rPr>
          <w:rFonts w:asciiTheme="minorEastAsia" w:hAnsiTheme="minorEastAsia"/>
          <w:szCs w:val="21"/>
        </w:rPr>
        <w:t>前</w:t>
      </w:r>
      <w:r>
        <w:rPr>
          <w:rFonts w:hint="eastAsia" w:asciiTheme="minorEastAsia" w:hAnsiTheme="minorEastAsia"/>
          <w:szCs w:val="21"/>
        </w:rPr>
        <w:t>7个自然日（含）至开放日当日（含）提交赎回申请</w:t>
      </w:r>
      <w:r>
        <w:rPr>
          <w:rFonts w:asciiTheme="minorEastAsia" w:hAnsiTheme="minorEastAsia"/>
          <w:szCs w:val="21"/>
        </w:rPr>
        <w:t>，若投资者未进行赎回并继续持有本理财产品</w:t>
      </w:r>
      <w:r>
        <w:rPr>
          <w:rFonts w:hint="eastAsia" w:asciiTheme="minorEastAsia" w:hAnsiTheme="minorEastAsia"/>
          <w:szCs w:val="21"/>
        </w:rPr>
        <w:t>，或在上述期间申购本理财产品，</w:t>
      </w:r>
      <w:r>
        <w:rPr>
          <w:rFonts w:asciiTheme="minorEastAsia" w:hAnsiTheme="minorEastAsia"/>
          <w:szCs w:val="21"/>
        </w:rPr>
        <w:t>则视同认可本次理财产品销售文件的</w:t>
      </w:r>
      <w:r>
        <w:rPr>
          <w:rFonts w:hint="eastAsia" w:asciiTheme="minorEastAsia" w:hAnsiTheme="minorEastAsia"/>
          <w:szCs w:val="21"/>
        </w:rPr>
        <w:t>调整且</w:t>
      </w:r>
      <w:r>
        <w:rPr>
          <w:rFonts w:asciiTheme="minorEastAsia" w:hAnsiTheme="minorEastAsia"/>
          <w:szCs w:val="21"/>
        </w:rPr>
        <w:t>同意适用修订后的理财产品销售文件。</w:t>
      </w:r>
    </w:p>
    <w:p>
      <w:pPr>
        <w:rPr>
          <w:rFonts w:asciiTheme="minorEastAsia" w:hAnsiTheme="minorEastAsia"/>
          <w:szCs w:val="21"/>
        </w:rPr>
      </w:pP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特此公告</w:t>
      </w:r>
      <w:r>
        <w:rPr>
          <w:rFonts w:asciiTheme="minorEastAsia" w:hAnsiTheme="minorEastAsia"/>
          <w:szCs w:val="21"/>
        </w:rPr>
        <w:t>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ind w:right="440" w:firstLine="5460" w:firstLineChars="2600"/>
        <w:rPr>
          <w:rFonts w:asciiTheme="minorEastAsia" w:hAnsiTheme="minorEastAsia"/>
          <w:szCs w:val="21"/>
        </w:rPr>
      </w:pPr>
      <w:r>
        <w:rPr>
          <w:rFonts w:cs="Arial" w:asciiTheme="minorEastAsia" w:hAnsiTheme="minorEastAsia"/>
          <w:color w:val="000000"/>
          <w:szCs w:val="21"/>
        </w:rPr>
        <w:t>渝农商理财有限责任公司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 xml:space="preserve"> </w:t>
      </w:r>
    </w:p>
    <w:p>
      <w:pPr>
        <w:ind w:right="440" w:firstLine="5775" w:firstLineChars="275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20</w:t>
      </w:r>
      <w:r>
        <w:rPr>
          <w:rFonts w:asciiTheme="minorEastAsia" w:hAnsiTheme="minorEastAsia"/>
          <w:szCs w:val="21"/>
        </w:rPr>
        <w:t>21年1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r>
        <w:rPr>
          <w:rFonts w:asciiTheme="minorEastAsia" w:hAnsiTheme="minorEastAsia"/>
          <w:szCs w:val="21"/>
        </w:rPr>
        <w:t>日</w:t>
      </w:r>
    </w:p>
    <w:p>
      <w:pPr>
        <w:ind w:right="220"/>
        <w:jc w:val="right"/>
        <w:rPr>
          <w:sz w:val="22"/>
        </w:rPr>
      </w:pPr>
    </w:p>
    <w:p>
      <w:pPr>
        <w:jc w:val="right"/>
        <w:rPr>
          <w:sz w:val="22"/>
        </w:rPr>
      </w:pPr>
    </w:p>
    <w:p>
      <w:pPr>
        <w:rPr>
          <w:sz w:val="22"/>
        </w:rPr>
      </w:pPr>
    </w:p>
    <w:p>
      <w:pPr>
        <w:jc w:val="right"/>
        <w:rPr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04E3"/>
    <w:rsid w:val="000316AE"/>
    <w:rsid w:val="000605AE"/>
    <w:rsid w:val="0007029C"/>
    <w:rsid w:val="00097C54"/>
    <w:rsid w:val="000C6476"/>
    <w:rsid w:val="000F2CDF"/>
    <w:rsid w:val="00101DBD"/>
    <w:rsid w:val="001147E8"/>
    <w:rsid w:val="00123DE6"/>
    <w:rsid w:val="001251B8"/>
    <w:rsid w:val="001366B5"/>
    <w:rsid w:val="00146F30"/>
    <w:rsid w:val="00151E0C"/>
    <w:rsid w:val="00180C7E"/>
    <w:rsid w:val="00212452"/>
    <w:rsid w:val="00226692"/>
    <w:rsid w:val="002270F4"/>
    <w:rsid w:val="00240A80"/>
    <w:rsid w:val="00257415"/>
    <w:rsid w:val="0029015F"/>
    <w:rsid w:val="002A028C"/>
    <w:rsid w:val="002B0AB1"/>
    <w:rsid w:val="002B14D9"/>
    <w:rsid w:val="002B457B"/>
    <w:rsid w:val="002C062B"/>
    <w:rsid w:val="002D2291"/>
    <w:rsid w:val="002D5067"/>
    <w:rsid w:val="002F7B14"/>
    <w:rsid w:val="0031338E"/>
    <w:rsid w:val="003253BB"/>
    <w:rsid w:val="00350F06"/>
    <w:rsid w:val="00360825"/>
    <w:rsid w:val="00380B40"/>
    <w:rsid w:val="003A20D6"/>
    <w:rsid w:val="003B2D6D"/>
    <w:rsid w:val="003B6C8E"/>
    <w:rsid w:val="003D0717"/>
    <w:rsid w:val="003E5C6E"/>
    <w:rsid w:val="003F6A12"/>
    <w:rsid w:val="00414E57"/>
    <w:rsid w:val="004174FB"/>
    <w:rsid w:val="004437E5"/>
    <w:rsid w:val="004616CA"/>
    <w:rsid w:val="00462A60"/>
    <w:rsid w:val="004750CB"/>
    <w:rsid w:val="004A066A"/>
    <w:rsid w:val="004B15FE"/>
    <w:rsid w:val="00506E38"/>
    <w:rsid w:val="00512F59"/>
    <w:rsid w:val="00546C64"/>
    <w:rsid w:val="0057526E"/>
    <w:rsid w:val="00576765"/>
    <w:rsid w:val="005946EE"/>
    <w:rsid w:val="005A0BA6"/>
    <w:rsid w:val="005B2103"/>
    <w:rsid w:val="005F44B6"/>
    <w:rsid w:val="006246D9"/>
    <w:rsid w:val="00651362"/>
    <w:rsid w:val="00670561"/>
    <w:rsid w:val="00681038"/>
    <w:rsid w:val="0068446F"/>
    <w:rsid w:val="0069135B"/>
    <w:rsid w:val="0069439D"/>
    <w:rsid w:val="00697861"/>
    <w:rsid w:val="006A0DF7"/>
    <w:rsid w:val="006B1735"/>
    <w:rsid w:val="006F4B6D"/>
    <w:rsid w:val="007877FC"/>
    <w:rsid w:val="007A494A"/>
    <w:rsid w:val="007B630F"/>
    <w:rsid w:val="007D3D53"/>
    <w:rsid w:val="007D44F4"/>
    <w:rsid w:val="008227D7"/>
    <w:rsid w:val="008604E3"/>
    <w:rsid w:val="00871118"/>
    <w:rsid w:val="00894BDE"/>
    <w:rsid w:val="008A0991"/>
    <w:rsid w:val="008A3B39"/>
    <w:rsid w:val="008F4DE0"/>
    <w:rsid w:val="0090658A"/>
    <w:rsid w:val="00921C52"/>
    <w:rsid w:val="009337D9"/>
    <w:rsid w:val="00945E9B"/>
    <w:rsid w:val="00977CC4"/>
    <w:rsid w:val="009861C4"/>
    <w:rsid w:val="00987414"/>
    <w:rsid w:val="009D5ECE"/>
    <w:rsid w:val="009E50A2"/>
    <w:rsid w:val="009E5B33"/>
    <w:rsid w:val="00A000DE"/>
    <w:rsid w:val="00A13826"/>
    <w:rsid w:val="00A21FEC"/>
    <w:rsid w:val="00A341A6"/>
    <w:rsid w:val="00A40151"/>
    <w:rsid w:val="00A46754"/>
    <w:rsid w:val="00A47FD8"/>
    <w:rsid w:val="00AB49AC"/>
    <w:rsid w:val="00AB67CD"/>
    <w:rsid w:val="00B122D6"/>
    <w:rsid w:val="00B359C7"/>
    <w:rsid w:val="00B43869"/>
    <w:rsid w:val="00B65ACE"/>
    <w:rsid w:val="00B87DE3"/>
    <w:rsid w:val="00BA2129"/>
    <w:rsid w:val="00BC013F"/>
    <w:rsid w:val="00BD34A0"/>
    <w:rsid w:val="00C02B82"/>
    <w:rsid w:val="00C1486D"/>
    <w:rsid w:val="00C21DBD"/>
    <w:rsid w:val="00C36D0B"/>
    <w:rsid w:val="00C44E32"/>
    <w:rsid w:val="00C501EC"/>
    <w:rsid w:val="00C51C2F"/>
    <w:rsid w:val="00C63ECF"/>
    <w:rsid w:val="00C87279"/>
    <w:rsid w:val="00CA0D4B"/>
    <w:rsid w:val="00CA3664"/>
    <w:rsid w:val="00CB5450"/>
    <w:rsid w:val="00D05006"/>
    <w:rsid w:val="00D32C8C"/>
    <w:rsid w:val="00D33E36"/>
    <w:rsid w:val="00D619FF"/>
    <w:rsid w:val="00D62E0F"/>
    <w:rsid w:val="00D7749B"/>
    <w:rsid w:val="00D81CD7"/>
    <w:rsid w:val="00D82E9F"/>
    <w:rsid w:val="00DB4098"/>
    <w:rsid w:val="00DF35D9"/>
    <w:rsid w:val="00DF6B9D"/>
    <w:rsid w:val="00E31397"/>
    <w:rsid w:val="00E3418D"/>
    <w:rsid w:val="00E35597"/>
    <w:rsid w:val="00E4591A"/>
    <w:rsid w:val="00E90D4B"/>
    <w:rsid w:val="00EA4A4F"/>
    <w:rsid w:val="00EC562E"/>
    <w:rsid w:val="00EC607A"/>
    <w:rsid w:val="00F3293F"/>
    <w:rsid w:val="00F348E8"/>
    <w:rsid w:val="00F47E08"/>
    <w:rsid w:val="00F67B18"/>
    <w:rsid w:val="00F80368"/>
    <w:rsid w:val="00FB0182"/>
    <w:rsid w:val="00FB435D"/>
    <w:rsid w:val="00FC47E2"/>
    <w:rsid w:val="00FD400F"/>
    <w:rsid w:val="00FE18AC"/>
    <w:rsid w:val="1062045D"/>
    <w:rsid w:val="20812185"/>
    <w:rsid w:val="2822109F"/>
    <w:rsid w:val="5725068E"/>
    <w:rsid w:val="653B2F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E2E3FA-A233-4463-9A9E-97D2B034C6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396</Characters>
  <Lines>3</Lines>
  <Paragraphs>1</Paragraphs>
  <TotalTime>330</TotalTime>
  <ScaleCrop>false</ScaleCrop>
  <LinksUpToDate>false</LinksUpToDate>
  <CharactersWithSpaces>464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2017-12-13T14:23:00Z</dcterms:created>
  <dc:creator>总行李笑一</dc:creator>
  <cp:lastModifiedBy>赵玲利</cp:lastModifiedBy>
  <cp:lastPrinted>2019-07-16T02:40:00Z</cp:lastPrinted>
  <dcterms:modified xsi:type="dcterms:W3CDTF">2021-11-25T08:27:54Z</dcterms:modified>
  <cp:revision>535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F8C5FEA06C1A4AD6B667BCD278D213EA</vt:lpwstr>
  </property>
</Properties>
</file>