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inorEastAsia" w:hAnsiTheme="minorEastAsia"/>
          <w:b/>
          <w:sz w:val="32"/>
          <w:szCs w:val="32"/>
        </w:rPr>
      </w:pPr>
      <w:bookmarkStart w:id="0" w:name="_Toc524626124"/>
      <w:r>
        <w:rPr>
          <w:rFonts w:hint="eastAsia" w:asciiTheme="minorEastAsia" w:hAnsiTheme="minorEastAsia"/>
          <w:b/>
          <w:sz w:val="32"/>
          <w:szCs w:val="32"/>
        </w:rPr>
        <w:t>渝农商理财有限责任公司渝农商理财江渝财富天添金</w:t>
      </w:r>
    </w:p>
    <w:p>
      <w:pPr>
        <w:spacing w:line="360" w:lineRule="auto"/>
        <w:jc w:val="center"/>
        <w:rPr>
          <w:rFonts w:asciiTheme="minorEastAsia" w:hAnsiTheme="minorEastAsia"/>
          <w:b/>
          <w:sz w:val="32"/>
          <w:szCs w:val="32"/>
        </w:rPr>
      </w:pPr>
      <w:r>
        <w:rPr>
          <w:rFonts w:hint="eastAsia" w:asciiTheme="minorEastAsia" w:hAnsiTheme="minorEastAsia"/>
          <w:b/>
          <w:sz w:val="32"/>
          <w:szCs w:val="32"/>
        </w:rPr>
        <w:t>益进封闭式2021年第41001期理财产品</w:t>
      </w:r>
    </w:p>
    <w:p>
      <w:pPr>
        <w:jc w:val="center"/>
        <w:rPr>
          <w:rFonts w:eastAsia="仿宋"/>
          <w:b/>
          <w:sz w:val="24"/>
        </w:rPr>
      </w:pPr>
      <w:r>
        <w:rPr>
          <w:rFonts w:hint="eastAsia" w:asciiTheme="minorEastAsia" w:hAnsiTheme="minorEastAsia"/>
          <w:b/>
          <w:sz w:val="32"/>
          <w:szCs w:val="32"/>
          <w:lang w:val="en-US" w:eastAsia="zh-CN"/>
        </w:rPr>
        <w:t>2021</w:t>
      </w:r>
      <w:r>
        <w:rPr>
          <w:rFonts w:hint="eastAsia" w:asciiTheme="minorEastAsia" w:hAnsiTheme="minorEastAsia"/>
          <w:b/>
          <w:sz w:val="32"/>
          <w:szCs w:val="32"/>
        </w:rPr>
        <w:t>年</w:t>
      </w:r>
      <w:r>
        <w:rPr>
          <w:rFonts w:hint="eastAsia" w:asciiTheme="minorEastAsia" w:hAnsiTheme="minorEastAsia"/>
          <w:b/>
          <w:sz w:val="32"/>
          <w:szCs w:val="32"/>
          <w:lang w:val="en-US" w:eastAsia="zh-CN"/>
        </w:rPr>
        <w:t>第二季度暨半年</w:t>
      </w:r>
      <w:r>
        <w:rPr>
          <w:rFonts w:hint="eastAsia" w:asciiTheme="minorEastAsia" w:hAnsiTheme="minorEastAsia"/>
          <w:b/>
          <w:sz w:val="32"/>
          <w:szCs w:val="32"/>
        </w:rPr>
        <w:t>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vAlign w:val="center"/>
          </w:tcPr>
          <w:p>
            <w:pPr>
              <w:widowControl/>
              <w:jc w:val="both"/>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渝农商理财江渝财富天添金益进封闭式2021年第41001期理财产品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21GSGF41001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Z7002721000001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769,357,087.00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2021年01月15日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 xml:space="preserve">2021年10月20日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123912301610775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中国国际金融股份有限公司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2021年6月30日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785,052,765.24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1.0204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1.0204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1461"/>
        <w:gridCol w:w="1565"/>
        <w:gridCol w:w="1490"/>
        <w:gridCol w:w="1330"/>
        <w:gridCol w:w="1290"/>
        <w:gridCol w:w="1197"/>
      </w:tblGrid>
      <w:tr>
        <w:tblPrEx>
          <w:tblCellMar>
            <w:top w:w="0" w:type="dxa"/>
            <w:left w:w="0" w:type="dxa"/>
            <w:bottom w:w="0" w:type="dxa"/>
            <w:right w:w="0" w:type="dxa"/>
          </w:tblCellMar>
        </w:tblPrEx>
        <w:trPr>
          <w:trHeight w:val="312" w:hRule="atLeast"/>
        </w:trPr>
        <w:tc>
          <w:tcPr>
            <w:tcW w:w="14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156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14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固定收益类</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441,689,146.76</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56.05</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346,356,036.53</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43.95</w:t>
            </w:r>
          </w:p>
        </w:tc>
      </w:tr>
      <w:tr>
        <w:tblPrEx>
          <w:tblCellMar>
            <w:top w:w="0" w:type="dxa"/>
            <w:left w:w="0" w:type="dxa"/>
            <w:bottom w:w="0" w:type="dxa"/>
            <w:right w:w="0" w:type="dxa"/>
          </w:tblCellMar>
        </w:tblPrEx>
        <w:trPr>
          <w:trHeight w:val="500"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其中：债券</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153,818,986.55</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19.52</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346,356,036.53</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43.95</w:t>
            </w:r>
          </w:p>
        </w:tc>
      </w:tr>
      <w:tr>
        <w:tblPrEx>
          <w:tblCellMar>
            <w:top w:w="0" w:type="dxa"/>
            <w:left w:w="0" w:type="dxa"/>
            <w:bottom w:w="0" w:type="dxa"/>
            <w:right w:w="0" w:type="dxa"/>
          </w:tblCellMar>
        </w:tblPrEx>
        <w:trPr>
          <w:trHeight w:val="400"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一般债权</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284,405,055.55</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36.09</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资产支持证券</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现金及货币工具</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default" w:ascii="宋体" w:hAnsi="宋体" w:eastAsia="宋体" w:cs="宋体"/>
                <w:bCs/>
                <w:kern w:val="0"/>
                <w:sz w:val="18"/>
                <w:szCs w:val="18"/>
                <w:lang w:val="en-US" w:eastAsia="zh-CN" w:bidi="ar"/>
              </w:rPr>
              <w:t>3,465,104.66</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0.44</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权益类</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商品及金融衍生类</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highlight w:val="none"/>
                <w:lang w:bidi="ar"/>
              </w:rPr>
              <w:t>混合类</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合计</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441,689,146.76</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56.05</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346,356,036.53</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43.95</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tbl>
      <w:tblPr>
        <w:tblStyle w:val="20"/>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835"/>
        <w:gridCol w:w="1841"/>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83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投资资产种类</w:t>
            </w:r>
          </w:p>
        </w:tc>
        <w:tc>
          <w:tcPr>
            <w:tcW w:w="184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291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投资组合杠杆率（%）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jc w:val="center"/>
            </w:pPr>
            <w:r>
              <w:rPr>
                <w:rFonts w:hint="eastAsia" w:ascii="宋体" w:hAnsi="宋体" w:eastAsia="宋体" w:cs="宋体"/>
                <w:color w:val="000000"/>
                <w:kern w:val="0"/>
                <w:sz w:val="18"/>
                <w:szCs w:val="18"/>
                <w:lang w:val="en-US" w:eastAsia="zh-CN" w:bidi="ar"/>
              </w:rPr>
              <w:t>/</w:t>
            </w:r>
          </w:p>
        </w:tc>
        <w:tc>
          <w:tcPr>
            <w:tcW w:w="2835" w:type="dxa"/>
          </w:tcPr>
          <w:p>
            <w:pPr>
              <w:jc w:val="center"/>
            </w:pPr>
            <w:r>
              <w:rPr>
                <w:rFonts w:hint="eastAsia" w:ascii="宋体" w:hAnsi="宋体" w:eastAsia="宋体" w:cs="宋体"/>
                <w:color w:val="000000"/>
                <w:kern w:val="0"/>
                <w:sz w:val="18"/>
                <w:szCs w:val="18"/>
                <w:lang w:val="en-US" w:eastAsia="zh-CN" w:bidi="ar"/>
              </w:rPr>
              <w:t>/</w:t>
            </w:r>
          </w:p>
        </w:tc>
        <w:tc>
          <w:tcPr>
            <w:tcW w:w="1841" w:type="dxa"/>
          </w:tcPr>
          <w:p>
            <w:pPr>
              <w:jc w:val="center"/>
            </w:pPr>
            <w:r>
              <w:rPr>
                <w:rFonts w:hint="eastAsia" w:ascii="宋体" w:hAnsi="宋体" w:eastAsia="宋体" w:cs="宋体"/>
                <w:color w:val="000000"/>
                <w:kern w:val="0"/>
                <w:sz w:val="18"/>
                <w:szCs w:val="18"/>
                <w:lang w:val="en-US" w:eastAsia="zh-CN" w:bidi="ar"/>
              </w:rPr>
              <w:t>/</w:t>
            </w:r>
          </w:p>
        </w:tc>
        <w:tc>
          <w:tcPr>
            <w:tcW w:w="2915"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251"/>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25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中金锦嘉1号集合资产管理计划</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346,356,036.53</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贵银租赁</w:t>
            </w:r>
            <w:r>
              <w:rPr>
                <w:rFonts w:hint="eastAsia" w:ascii="宋体" w:hAnsi="宋体" w:eastAsia="宋体" w:cs="宋体"/>
                <w:color w:val="000000"/>
                <w:kern w:val="0"/>
                <w:sz w:val="18"/>
                <w:szCs w:val="18"/>
                <w:lang w:val="en-US" w:eastAsia="zh-CN" w:bidi="ar"/>
              </w:rPr>
              <w:t>同业借款</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204,391,944.44</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渝农商租赁</w:t>
            </w:r>
            <w:r>
              <w:rPr>
                <w:rFonts w:hint="eastAsia" w:ascii="宋体" w:hAnsi="宋体" w:eastAsia="宋体" w:cs="宋体"/>
                <w:color w:val="000000"/>
                <w:kern w:val="0"/>
                <w:sz w:val="18"/>
                <w:szCs w:val="18"/>
                <w:lang w:val="en-US" w:eastAsia="zh-CN" w:bidi="ar"/>
              </w:rPr>
              <w:t>同业借款</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80,013,111.11</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19渝物01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66,287,173.26</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19开扶贫</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40,879,479.45</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17苏控02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29,527,629.18</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17株高02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15,090,502.19</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3,465,104.66</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17苏控01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2,034,202.47</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0.26</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36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7"/>
        <w:gridCol w:w="2266"/>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266"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w:t>
            </w:r>
          </w:p>
        </w:tc>
        <w:tc>
          <w:tcPr>
            <w:tcW w:w="2266" w:type="dxa"/>
            <w:shd w:val="clear" w:color="auto" w:fill="auto"/>
            <w:tcMar>
              <w:top w:w="15" w:type="dxa"/>
              <w:left w:w="15" w:type="dxa"/>
              <w:right w:w="15" w:type="dxa"/>
            </w:tcMar>
            <w:vAlign w:val="bottom"/>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贵阳贵银金融租赁有限责任公司</w:t>
            </w:r>
          </w:p>
        </w:tc>
        <w:tc>
          <w:tcPr>
            <w:tcW w:w="992" w:type="dxa"/>
            <w:shd w:val="clear" w:color="auto" w:fill="auto"/>
            <w:tcMar>
              <w:top w:w="15" w:type="dxa"/>
              <w:left w:w="15" w:type="dxa"/>
              <w:right w:w="15" w:type="dxa"/>
            </w:tcMar>
            <w:vAlign w:val="top"/>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贵银租赁</w:t>
            </w:r>
          </w:p>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同业借款</w:t>
            </w:r>
          </w:p>
        </w:tc>
        <w:tc>
          <w:tcPr>
            <w:tcW w:w="992"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111</w:t>
            </w:r>
          </w:p>
        </w:tc>
        <w:tc>
          <w:tcPr>
            <w:tcW w:w="851"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4.85</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利随本清</w:t>
            </w:r>
          </w:p>
        </w:tc>
        <w:tc>
          <w:tcPr>
            <w:tcW w:w="1160"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同业借款</w:t>
            </w:r>
          </w:p>
        </w:tc>
        <w:tc>
          <w:tcPr>
            <w:tcW w:w="776"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w:t>
            </w:r>
          </w:p>
        </w:tc>
        <w:tc>
          <w:tcPr>
            <w:tcW w:w="2266" w:type="dxa"/>
            <w:shd w:val="clear" w:color="auto" w:fill="auto"/>
            <w:tcMar>
              <w:top w:w="15" w:type="dxa"/>
              <w:left w:w="15" w:type="dxa"/>
              <w:right w:w="15" w:type="dxa"/>
            </w:tcMar>
            <w:vAlign w:val="bottom"/>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渝农商金融租赁有限责任公司</w:t>
            </w:r>
          </w:p>
        </w:tc>
        <w:tc>
          <w:tcPr>
            <w:tcW w:w="992" w:type="dxa"/>
            <w:shd w:val="clear" w:color="auto" w:fill="auto"/>
            <w:tcMar>
              <w:top w:w="15" w:type="dxa"/>
              <w:left w:w="15" w:type="dxa"/>
              <w:right w:w="15" w:type="dxa"/>
            </w:tcMar>
            <w:vAlign w:val="top"/>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渝农商租赁</w:t>
            </w:r>
            <w:r>
              <w:rPr>
                <w:rFonts w:hint="eastAsia" w:ascii="宋体" w:hAnsi="宋体" w:eastAsia="宋体" w:cs="宋体"/>
                <w:color w:val="000000"/>
                <w:kern w:val="0"/>
                <w:sz w:val="18"/>
                <w:szCs w:val="18"/>
                <w:lang w:val="en-US" w:eastAsia="zh-CN" w:bidi="ar"/>
              </w:rPr>
              <w:t>同业借款</w:t>
            </w:r>
          </w:p>
        </w:tc>
        <w:tc>
          <w:tcPr>
            <w:tcW w:w="992"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6</w:t>
            </w:r>
          </w:p>
        </w:tc>
        <w:tc>
          <w:tcPr>
            <w:tcW w:w="851"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2.95</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利随本清</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同业借款</w:t>
            </w:r>
          </w:p>
        </w:tc>
        <w:tc>
          <w:tcPr>
            <w:tcW w:w="776"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1113"/>
        <w:gridCol w:w="1230"/>
        <w:gridCol w:w="1133"/>
        <w:gridCol w:w="1068"/>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11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30"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3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68"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551"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w:t>
            </w:r>
          </w:p>
        </w:tc>
        <w:tc>
          <w:tcPr>
            <w:tcW w:w="127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渝农商租赁</w:t>
            </w:r>
            <w:r>
              <w:rPr>
                <w:rFonts w:hint="eastAsia" w:ascii="宋体" w:hAnsi="宋体" w:eastAsia="宋体" w:cs="宋体"/>
                <w:color w:val="000000"/>
                <w:kern w:val="0"/>
                <w:sz w:val="18"/>
                <w:szCs w:val="18"/>
                <w:lang w:val="en-US" w:eastAsia="zh-CN" w:bidi="ar"/>
              </w:rPr>
              <w:t>同业借款</w:t>
            </w:r>
          </w:p>
        </w:tc>
        <w:tc>
          <w:tcPr>
            <w:tcW w:w="1113"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同业借款</w:t>
            </w:r>
          </w:p>
        </w:tc>
        <w:tc>
          <w:tcPr>
            <w:tcW w:w="1230"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TJ20210629004</w:t>
            </w:r>
          </w:p>
        </w:tc>
        <w:tc>
          <w:tcPr>
            <w:tcW w:w="1133"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1068"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80,013,111.11</w:t>
            </w:r>
          </w:p>
        </w:tc>
        <w:tc>
          <w:tcPr>
            <w:tcW w:w="155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渝农商金融租赁有限责任公司</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403"/>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0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tcPr>
          <w:p>
            <w:pPr>
              <w:jc w:val="center"/>
            </w:pPr>
            <w:r>
              <w:rPr>
                <w:rFonts w:hint="eastAsia" w:ascii="宋体" w:hAnsi="宋体" w:eastAsia="宋体" w:cs="宋体"/>
                <w:color w:val="000000"/>
                <w:kern w:val="0"/>
                <w:sz w:val="18"/>
                <w:szCs w:val="18"/>
                <w:lang w:val="en-US" w:eastAsia="zh-CN" w:bidi="ar"/>
              </w:rPr>
              <w:t>/</w:t>
            </w:r>
          </w:p>
        </w:tc>
        <w:tc>
          <w:tcPr>
            <w:tcW w:w="1403" w:type="dxa"/>
          </w:tcPr>
          <w:p>
            <w:pPr>
              <w:jc w:val="center"/>
            </w:pPr>
            <w:r>
              <w:rPr>
                <w:rFonts w:hint="eastAsia" w:ascii="宋体" w:hAnsi="宋体" w:eastAsia="宋体" w:cs="宋体"/>
                <w:color w:val="000000"/>
                <w:kern w:val="0"/>
                <w:sz w:val="18"/>
                <w:szCs w:val="18"/>
                <w:lang w:val="en-US" w:eastAsia="zh-CN" w:bidi="ar"/>
              </w:rPr>
              <w:t>/</w:t>
            </w:r>
          </w:p>
        </w:tc>
        <w:tc>
          <w:tcPr>
            <w:tcW w:w="1843" w:type="dxa"/>
          </w:tcPr>
          <w:p>
            <w:pPr>
              <w:jc w:val="center"/>
            </w:pPr>
            <w:r>
              <w:rPr>
                <w:rFonts w:hint="eastAsia" w:ascii="宋体" w:hAnsi="宋体" w:eastAsia="宋体" w:cs="宋体"/>
                <w:color w:val="000000"/>
                <w:kern w:val="0"/>
                <w:sz w:val="18"/>
                <w:szCs w:val="18"/>
                <w:lang w:val="en-US" w:eastAsia="zh-CN" w:bidi="ar"/>
              </w:rPr>
              <w:t>/</w:t>
            </w:r>
          </w:p>
        </w:tc>
        <w:tc>
          <w:tcPr>
            <w:tcW w:w="1276" w:type="dxa"/>
          </w:tcPr>
          <w:p>
            <w:pPr>
              <w:jc w:val="center"/>
            </w:pPr>
            <w:r>
              <w:rPr>
                <w:rFonts w:hint="eastAsia" w:ascii="宋体" w:hAnsi="宋体" w:eastAsia="宋体" w:cs="宋体"/>
                <w:color w:val="000000"/>
                <w:kern w:val="0"/>
                <w:sz w:val="18"/>
                <w:szCs w:val="18"/>
                <w:lang w:val="en-US" w:eastAsia="zh-CN" w:bidi="ar"/>
              </w:rPr>
              <w:t>/</w:t>
            </w:r>
          </w:p>
        </w:tc>
        <w:tc>
          <w:tcPr>
            <w:tcW w:w="1559" w:type="dxa"/>
          </w:tcPr>
          <w:p>
            <w:pPr>
              <w:jc w:val="center"/>
            </w:pPr>
            <w:r>
              <w:rPr>
                <w:rFonts w:hint="eastAsia" w:ascii="宋体" w:hAnsi="宋体" w:eastAsia="宋体" w:cs="宋体"/>
                <w:color w:val="000000"/>
                <w:kern w:val="0"/>
                <w:sz w:val="18"/>
                <w:szCs w:val="18"/>
                <w:lang w:val="en-US" w:eastAsia="zh-CN" w:bidi="ar"/>
              </w:rPr>
              <w:t>/</w:t>
            </w:r>
          </w:p>
        </w:tc>
        <w:tc>
          <w:tcPr>
            <w:tcW w:w="1560"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asciiTheme="minorEastAsia" w:hAnsiTheme="minorEastAsia"/>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rPr>
          <w:rFonts w:asciiTheme="minorEastAsia" w:hAnsiTheme="minorEastAsia"/>
          <w:szCs w:val="21"/>
        </w:rPr>
      </w:pPr>
      <w:r>
        <w:rPr>
          <w:rFonts w:hint="eastAsia" w:asciiTheme="minorEastAsia" w:hAnsiTheme="minorEastAsia"/>
          <w:szCs w:val="21"/>
        </w:rPr>
        <w:t xml:space="preserve">    本产品托管人为</w:t>
      </w:r>
      <w:r>
        <w:rPr>
          <w:rFonts w:hint="eastAsia" w:cs="宋体" w:asciiTheme="minorEastAsia" w:hAnsiTheme="minorEastAsia"/>
          <w:kern w:val="0"/>
        </w:rPr>
        <w:t>招商银行股份有限公司。</w:t>
      </w:r>
    </w:p>
    <w:p>
      <w:pPr>
        <w:rPr>
          <w:rFonts w:asciiTheme="minorEastAsia" w:hAnsiTheme="minorEastAsia"/>
          <w:szCs w:val="21"/>
        </w:rPr>
      </w:pPr>
      <w:r>
        <w:rPr>
          <w:rFonts w:hint="eastAsia" w:asciiTheme="minorEastAsia" w:hAnsiTheme="minorEastAsia"/>
          <w:szCs w:val="21"/>
        </w:rPr>
        <w:t xml:space="preserve">    （一）履职情况</w:t>
      </w:r>
    </w:p>
    <w:p>
      <w:pPr>
        <w:rPr>
          <w:rFonts w:asciiTheme="minorEastAsia" w:hAnsiTheme="minorEastAsia"/>
          <w:szCs w:val="21"/>
        </w:rPr>
      </w:pPr>
      <w:r>
        <w:rPr>
          <w:rFonts w:hint="eastAsia" w:asciiTheme="minorEastAsia" w:hAnsiTheme="minorEastAsia"/>
          <w:szCs w:val="21"/>
        </w:rPr>
        <w:t xml:space="preserve">    1.托管资产保管</w:t>
      </w:r>
    </w:p>
    <w:p>
      <w:pPr>
        <w:rPr>
          <w:rFonts w:asciiTheme="minorEastAsia" w:hAnsiTheme="minorEastAsia"/>
          <w:szCs w:val="21"/>
        </w:rPr>
      </w:pPr>
      <w:r>
        <w:rPr>
          <w:rFonts w:hint="eastAsia" w:asciiTheme="minorEastAsia" w:hAnsiTheme="minorEastAsia"/>
          <w:szCs w:val="21"/>
        </w:rPr>
        <w:t xml:space="preserve">    托管资产独立于招商银行的自有资产及其托管的其他资产，不同投资账户之间的托管资产之间互相独立。</w:t>
      </w:r>
    </w:p>
    <w:p>
      <w:pPr>
        <w:rPr>
          <w:rFonts w:asciiTheme="minorEastAsia" w:hAnsiTheme="minorEastAsia"/>
          <w:szCs w:val="21"/>
        </w:rPr>
      </w:pPr>
      <w:r>
        <w:rPr>
          <w:rFonts w:hint="eastAsia" w:asciiTheme="minorEastAsia" w:hAnsiTheme="minorEastAsia"/>
          <w:szCs w:val="21"/>
        </w:rPr>
        <w:t xml:space="preserve">    托管人按照监管相关规定，完整保存与托管资产有关的会计档案、与托管资产有关的投资记录、指令和合同等。</w:t>
      </w:r>
    </w:p>
    <w:p>
      <w:pPr>
        <w:rPr>
          <w:rFonts w:asciiTheme="minorEastAsia" w:hAnsiTheme="minorEastAsia"/>
          <w:szCs w:val="21"/>
        </w:rPr>
      </w:pPr>
      <w:r>
        <w:rPr>
          <w:rFonts w:hint="eastAsia" w:asciiTheme="minorEastAsia" w:hAnsiTheme="minorEastAsia"/>
          <w:szCs w:val="21"/>
        </w:rPr>
        <w:t xml:space="preserve">    2.会计核算和估值</w:t>
      </w:r>
    </w:p>
    <w:p>
      <w:pPr>
        <w:rPr>
          <w:rFonts w:asciiTheme="minorEastAsia" w:hAnsiTheme="minorEastAsia"/>
          <w:szCs w:val="21"/>
        </w:rPr>
      </w:pPr>
      <w:r>
        <w:rPr>
          <w:rFonts w:hint="eastAsia" w:asciiTheme="minorEastAsia" w:hAnsiTheme="minorEastAsia"/>
          <w:szCs w:val="21"/>
        </w:rPr>
        <w:t xml:space="preserve">    托管人与渝农商理财有限责任公司按照托管合同约定的统一记账方法和会计处理原则，独立地设置、登录和保管本产品的全套账册，进行会计核算和资产估值。</w:t>
      </w:r>
    </w:p>
    <w:p>
      <w:pPr>
        <w:rPr>
          <w:rFonts w:asciiTheme="minorEastAsia" w:hAnsiTheme="minorEastAsia"/>
          <w:szCs w:val="21"/>
        </w:rPr>
      </w:pPr>
      <w:r>
        <w:rPr>
          <w:rFonts w:hint="eastAsia" w:asciiTheme="minorEastAsia" w:hAnsiTheme="minorEastAsia"/>
          <w:szCs w:val="21"/>
        </w:rPr>
        <w:t xml:space="preserve">    3.定期核对有关数据</w:t>
      </w:r>
    </w:p>
    <w:p>
      <w:pPr>
        <w:rPr>
          <w:rFonts w:asciiTheme="minorEastAsia" w:hAnsiTheme="minorEastAsia"/>
          <w:szCs w:val="21"/>
        </w:rPr>
      </w:pPr>
      <w:r>
        <w:rPr>
          <w:rFonts w:hint="eastAsia" w:asciiTheme="minorEastAsia" w:hAnsiTheme="minorEastAsia"/>
          <w:szCs w:val="21"/>
        </w:rPr>
        <w:t xml:space="preserve">    托管人根据托管协议约定与渝农商理财有限责任公司定期进行账务核对。</w:t>
      </w:r>
    </w:p>
    <w:p>
      <w:pPr>
        <w:rPr>
          <w:rFonts w:asciiTheme="minorEastAsia" w:hAnsiTheme="minorEastAsia"/>
          <w:szCs w:val="21"/>
        </w:rPr>
      </w:pPr>
      <w:r>
        <w:rPr>
          <w:rFonts w:hint="eastAsia" w:asciiTheme="minorEastAsia" w:hAnsiTheme="minorEastAsia"/>
          <w:szCs w:val="21"/>
        </w:rPr>
        <w:t xml:space="preserve">    4.投资监督</w:t>
      </w:r>
    </w:p>
    <w:p>
      <w:pPr>
        <w:rPr>
          <w:rFonts w:asciiTheme="minorEastAsia" w:hAnsiTheme="minorEastAsia"/>
          <w:szCs w:val="21"/>
        </w:rPr>
      </w:pPr>
      <w:r>
        <w:rPr>
          <w:rFonts w:hint="eastAsia" w:asciiTheme="minorEastAsia" w:hAnsiTheme="minorEastAsia"/>
          <w:szCs w:val="21"/>
        </w:rPr>
        <w:t xml:space="preserve">    招商银行根据法规、托管协议以及双方约定的投资监督条款，对渝农商理财江渝财富天添金益进封闭式2021年第41001期理财产品的投资行为进行监督。</w:t>
      </w:r>
    </w:p>
    <w:p>
      <w:pPr>
        <w:rPr>
          <w:rFonts w:asciiTheme="minorEastAsia" w:hAnsiTheme="minorEastAsia"/>
          <w:szCs w:val="21"/>
        </w:rPr>
      </w:pPr>
      <w:r>
        <w:rPr>
          <w:rFonts w:hint="eastAsia" w:asciiTheme="minorEastAsia" w:hAnsiTheme="minorEastAsia"/>
          <w:szCs w:val="21"/>
        </w:rPr>
        <w:t xml:space="preserve">    （二）托管人声明</w:t>
      </w:r>
    </w:p>
    <w:p>
      <w:pPr>
        <w:rPr>
          <w:rFonts w:asciiTheme="minorEastAsia" w:hAnsiTheme="minorEastAsia"/>
          <w:szCs w:val="21"/>
        </w:rPr>
      </w:pPr>
      <w:r>
        <w:rPr>
          <w:rFonts w:hint="eastAsia" w:asciiTheme="minorEastAsia" w:hAnsiTheme="minorEastAsia"/>
          <w:szCs w:val="21"/>
        </w:rPr>
        <w:t xml:space="preserve">    招商银行具备完善的公司治理结构、内部稽核监控制度和风险控制制度， 在对渝农商理财江渝财富天添金益进封闭式2021年第41001期理财产品托管的过程中，严格遵守有关法律法规、托管协议的规定，尽职尽责地履行托管义务并安全保管托管资产。</w:t>
      </w:r>
    </w:p>
    <w:p>
      <w:pPr>
        <w:spacing w:line="480" w:lineRule="exact"/>
        <w:rPr>
          <w:rFonts w:asciiTheme="minorEastAsia" w:hAnsiTheme="minorEastAsia"/>
          <w:szCs w:val="21"/>
        </w:rPr>
      </w:pP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rPr>
          <w:rFonts w:asciiTheme="minorEastAsia" w:hAnsiTheme="minorEastAsia"/>
          <w:szCs w:val="21"/>
        </w:rPr>
      </w:pPr>
      <w:r>
        <w:rPr>
          <w:rFonts w:asciiTheme="minorEastAsia" w:hAnsiTheme="minorEastAsia"/>
          <w:szCs w:val="21"/>
        </w:rPr>
        <w:t>2021</w:t>
      </w:r>
      <w:r>
        <w:rPr>
          <w:rFonts w:hint="eastAsia" w:asciiTheme="minorEastAsia" w:hAnsiTheme="minorEastAsia"/>
          <w:szCs w:val="21"/>
        </w:rPr>
        <w:t>年</w:t>
      </w:r>
      <w:r>
        <w:rPr>
          <w:rFonts w:hint="eastAsia" w:asciiTheme="minorEastAsia" w:hAnsiTheme="minorEastAsia"/>
          <w:szCs w:val="21"/>
          <w:lang w:val="en-US" w:eastAsia="zh-CN"/>
        </w:rPr>
        <w:t>7</w:t>
      </w:r>
      <w:r>
        <w:rPr>
          <w:rFonts w:hint="eastAsia" w:asciiTheme="minorEastAsia" w:hAnsiTheme="minorEastAsia"/>
          <w:szCs w:val="21"/>
        </w:rPr>
        <w:t>月</w:t>
      </w:r>
      <w:r>
        <w:rPr>
          <w:rFonts w:hint="eastAsia" w:asciiTheme="minorEastAsia" w:hAnsiTheme="minorEastAsia"/>
          <w:szCs w:val="21"/>
          <w:lang w:val="en-US" w:eastAsia="zh-CN"/>
        </w:rPr>
        <w:t>21</w:t>
      </w:r>
      <w:bookmarkStart w:id="1" w:name="_GoBack"/>
      <w:bookmarkEnd w:id="1"/>
      <w:r>
        <w:rPr>
          <w:rFonts w:hint="eastAsia" w:asciiTheme="minorEastAsia" w:hAnsiTheme="minorEastAsia"/>
          <w:szCs w:val="21"/>
        </w:rPr>
        <w:t>日</w:t>
      </w:r>
    </w:p>
    <w:p>
      <w:pPr>
        <w:rPr>
          <w:rFonts w:asciiTheme="minorEastAsia" w:hAnsiTheme="minorEastAsia"/>
          <w:szCs w:val="21"/>
        </w:rPr>
      </w:pPr>
    </w:p>
    <w:p>
      <w:pPr>
        <w:spacing w:line="480" w:lineRule="exact"/>
        <w:rPr>
          <w:rFonts w:asciiTheme="minorEastAsia" w:hAnsiTheme="minorEastAsia"/>
          <w:szCs w:val="21"/>
        </w:rPr>
      </w:pPr>
    </w:p>
    <w:bookmarkEnd w:id="0"/>
    <w:p/>
    <w:sectPr>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7C16A08"/>
    <w:rsid w:val="07EE2529"/>
    <w:rsid w:val="081F1FB9"/>
    <w:rsid w:val="08613963"/>
    <w:rsid w:val="08717181"/>
    <w:rsid w:val="08783007"/>
    <w:rsid w:val="08BA008A"/>
    <w:rsid w:val="09563133"/>
    <w:rsid w:val="099A2105"/>
    <w:rsid w:val="0BEA0F7E"/>
    <w:rsid w:val="0FB525EE"/>
    <w:rsid w:val="0FC53136"/>
    <w:rsid w:val="0FE909DC"/>
    <w:rsid w:val="109116D6"/>
    <w:rsid w:val="12570CDF"/>
    <w:rsid w:val="12931977"/>
    <w:rsid w:val="12BD274E"/>
    <w:rsid w:val="13814A1B"/>
    <w:rsid w:val="145B1C45"/>
    <w:rsid w:val="154F13DA"/>
    <w:rsid w:val="15F40A44"/>
    <w:rsid w:val="16344310"/>
    <w:rsid w:val="168610F5"/>
    <w:rsid w:val="182721AC"/>
    <w:rsid w:val="18FB1CF2"/>
    <w:rsid w:val="197D5ABF"/>
    <w:rsid w:val="19A54864"/>
    <w:rsid w:val="1AB60040"/>
    <w:rsid w:val="1BDE0CAD"/>
    <w:rsid w:val="1C760FBE"/>
    <w:rsid w:val="1D3F0AD5"/>
    <w:rsid w:val="1FF23D36"/>
    <w:rsid w:val="21ED676D"/>
    <w:rsid w:val="22A30C64"/>
    <w:rsid w:val="22C40D15"/>
    <w:rsid w:val="2350060C"/>
    <w:rsid w:val="23774DFB"/>
    <w:rsid w:val="245909A5"/>
    <w:rsid w:val="25E358EE"/>
    <w:rsid w:val="265C67DD"/>
    <w:rsid w:val="26970B26"/>
    <w:rsid w:val="27BD45FF"/>
    <w:rsid w:val="28FE4662"/>
    <w:rsid w:val="291B6F1F"/>
    <w:rsid w:val="29361C2B"/>
    <w:rsid w:val="29774466"/>
    <w:rsid w:val="2A0F4201"/>
    <w:rsid w:val="2AEB1E5A"/>
    <w:rsid w:val="2B8625BE"/>
    <w:rsid w:val="2D2B448E"/>
    <w:rsid w:val="2FF34915"/>
    <w:rsid w:val="31721B70"/>
    <w:rsid w:val="3185531A"/>
    <w:rsid w:val="328522BE"/>
    <w:rsid w:val="331E4C1A"/>
    <w:rsid w:val="335601C3"/>
    <w:rsid w:val="33F54821"/>
    <w:rsid w:val="35DB54D6"/>
    <w:rsid w:val="37B114AF"/>
    <w:rsid w:val="383E199E"/>
    <w:rsid w:val="384A1DB9"/>
    <w:rsid w:val="399F28EF"/>
    <w:rsid w:val="39BA6599"/>
    <w:rsid w:val="3A422C5A"/>
    <w:rsid w:val="3D9E0757"/>
    <w:rsid w:val="422B2661"/>
    <w:rsid w:val="426224A6"/>
    <w:rsid w:val="42982300"/>
    <w:rsid w:val="43250476"/>
    <w:rsid w:val="44307945"/>
    <w:rsid w:val="44B76E0E"/>
    <w:rsid w:val="45B31BF8"/>
    <w:rsid w:val="472D2614"/>
    <w:rsid w:val="4897220E"/>
    <w:rsid w:val="48C804F4"/>
    <w:rsid w:val="49343EE8"/>
    <w:rsid w:val="49364B27"/>
    <w:rsid w:val="499E1B50"/>
    <w:rsid w:val="4B1E5A56"/>
    <w:rsid w:val="4BE87463"/>
    <w:rsid w:val="4C665F1D"/>
    <w:rsid w:val="4CC0510F"/>
    <w:rsid w:val="4DF0263F"/>
    <w:rsid w:val="4E6C5390"/>
    <w:rsid w:val="4F05414C"/>
    <w:rsid w:val="502F21CA"/>
    <w:rsid w:val="51EC6135"/>
    <w:rsid w:val="572F2943"/>
    <w:rsid w:val="57D83C46"/>
    <w:rsid w:val="586214C2"/>
    <w:rsid w:val="590A25B0"/>
    <w:rsid w:val="5A622306"/>
    <w:rsid w:val="5AB01723"/>
    <w:rsid w:val="5D5E2859"/>
    <w:rsid w:val="601E5596"/>
    <w:rsid w:val="61D36A21"/>
    <w:rsid w:val="621F0476"/>
    <w:rsid w:val="6230351A"/>
    <w:rsid w:val="63D37DC1"/>
    <w:rsid w:val="65A9136A"/>
    <w:rsid w:val="671D7CC1"/>
    <w:rsid w:val="687C70C4"/>
    <w:rsid w:val="69074462"/>
    <w:rsid w:val="695E0C31"/>
    <w:rsid w:val="6A250A96"/>
    <w:rsid w:val="6C9B0C01"/>
    <w:rsid w:val="6D5B3725"/>
    <w:rsid w:val="6E546A74"/>
    <w:rsid w:val="6FA67F07"/>
    <w:rsid w:val="70314F7E"/>
    <w:rsid w:val="716B66B4"/>
    <w:rsid w:val="73322D14"/>
    <w:rsid w:val="75736568"/>
    <w:rsid w:val="75DF65EA"/>
    <w:rsid w:val="773E6275"/>
    <w:rsid w:val="788C0951"/>
    <w:rsid w:val="78C3218A"/>
    <w:rsid w:val="79882DEC"/>
    <w:rsid w:val="79FE5971"/>
    <w:rsid w:val="7B1860A1"/>
    <w:rsid w:val="7BA6096B"/>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BEDEDF-ACA5-4360-84CA-D3AC382BA72E}">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165</Words>
  <Characters>941</Characters>
  <Lines>7</Lines>
  <Paragraphs>2</Paragraphs>
  <TotalTime>0</TotalTime>
  <ScaleCrop>false</ScaleCrop>
  <LinksUpToDate>false</LinksUpToDate>
  <CharactersWithSpaces>1104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2021-07-21T02:01:06Z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F5EE217228A04ED88293BFDDA0457F4A</vt:lpwstr>
  </property>
</Properties>
</file>