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asciiTheme="minorEastAsia" w:hAnsiTheme="minorEastAsia"/>
          <w:b/>
          <w:sz w:val="32"/>
          <w:szCs w:val="32"/>
        </w:rPr>
      </w:pPr>
      <w:r>
        <w:rPr>
          <w:rFonts w:hint="eastAsia" w:asciiTheme="minorEastAsia" w:hAnsiTheme="minorEastAsia"/>
          <w:b/>
          <w:sz w:val="32"/>
          <w:szCs w:val="32"/>
        </w:rPr>
        <w:t>益进封闭式2021年第51002期理财产品</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渝农商理财江渝财富天添金益进封闭式2021年第51002期理财产品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21GSGF51002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687,521,253.00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4.3</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2021年02月05日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2022年08月04日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699,699,853.95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1.0177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61"/>
        <w:gridCol w:w="1565"/>
        <w:gridCol w:w="1490"/>
        <w:gridCol w:w="1330"/>
        <w:gridCol w:w="1290"/>
        <w:gridCol w:w="1197"/>
      </w:tblGrid>
      <w:tr>
        <w:tblPrEx>
          <w:tblCellMar>
            <w:top w:w="0" w:type="dxa"/>
            <w:left w:w="0" w:type="dxa"/>
            <w:bottom w:w="0" w:type="dxa"/>
            <w:right w:w="0" w:type="dxa"/>
          </w:tblCellMar>
        </w:tblPrEx>
        <w:trPr>
          <w:trHeight w:val="312"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385,394,326.70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54.92</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316,375,951.75</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45.08</w:t>
            </w:r>
          </w:p>
        </w:tc>
      </w:tr>
      <w:tr>
        <w:tblPrEx>
          <w:tblCellMar>
            <w:top w:w="0" w:type="dxa"/>
            <w:left w:w="0" w:type="dxa"/>
            <w:bottom w:w="0" w:type="dxa"/>
            <w:right w:w="0" w:type="dxa"/>
          </w:tblCellMar>
        </w:tblPrEx>
        <w:trPr>
          <w:trHeight w:val="5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155,837,709.87</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22.21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316,375,951.75</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45.08</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222,415,890.41</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31.69</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7,140,726.42</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1.02</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385,394,326.70</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54.92</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316,375,951.75</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45.08</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jc w:val="center"/>
            </w:pPr>
            <w:r>
              <w:rPr>
                <w:rFonts w:hint="eastAsia" w:ascii="宋体" w:hAnsi="宋体" w:eastAsia="宋体" w:cs="宋体"/>
                <w:color w:val="000000"/>
                <w:kern w:val="0"/>
                <w:sz w:val="18"/>
                <w:szCs w:val="18"/>
                <w:lang w:val="en-US" w:eastAsia="zh-CN" w:bidi="ar"/>
              </w:rPr>
              <w:t>/</w:t>
            </w:r>
          </w:p>
        </w:tc>
        <w:tc>
          <w:tcPr>
            <w:tcW w:w="2835" w:type="dxa"/>
            <w:vAlign w:val="top"/>
          </w:tcPr>
          <w:p>
            <w:pPr>
              <w:jc w:val="center"/>
            </w:pPr>
            <w:r>
              <w:rPr>
                <w:rFonts w:hint="eastAsia" w:ascii="宋体" w:hAnsi="宋体" w:eastAsia="宋体" w:cs="宋体"/>
                <w:color w:val="000000"/>
                <w:kern w:val="0"/>
                <w:sz w:val="18"/>
                <w:szCs w:val="18"/>
                <w:lang w:val="en-US" w:eastAsia="zh-CN" w:bidi="ar"/>
              </w:rPr>
              <w:t>/</w:t>
            </w:r>
          </w:p>
        </w:tc>
        <w:tc>
          <w:tcPr>
            <w:tcW w:w="1841" w:type="dxa"/>
            <w:vAlign w:val="top"/>
          </w:tcPr>
          <w:p>
            <w:pPr>
              <w:jc w:val="center"/>
            </w:pPr>
            <w:r>
              <w:rPr>
                <w:rFonts w:hint="eastAsia" w:ascii="宋体" w:hAnsi="宋体" w:eastAsia="宋体" w:cs="宋体"/>
                <w:color w:val="000000"/>
                <w:kern w:val="0"/>
                <w:sz w:val="18"/>
                <w:szCs w:val="18"/>
                <w:lang w:val="en-US" w:eastAsia="zh-CN" w:bidi="ar"/>
              </w:rPr>
              <w:t>/</w:t>
            </w:r>
          </w:p>
        </w:tc>
        <w:tc>
          <w:tcPr>
            <w:tcW w:w="2915" w:type="dxa"/>
            <w:vAlign w:val="top"/>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316,375,951.75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17川成都经开国投ZR002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222,415,890.41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17迈瑞01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48,722,584.93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19肇庆02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48,295,460.96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20南岸01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45,660,834.25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19合川01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13,158,829.73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7,140,726.42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成都经开国投集团有限公司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17川成都经开国投ZR002</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399</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6.50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top"/>
          </w:tcPr>
          <w:p>
            <w:pPr>
              <w:jc w:val="center"/>
            </w:pPr>
            <w:r>
              <w:rPr>
                <w:rFonts w:hint="eastAsia" w:ascii="宋体" w:hAnsi="宋体" w:eastAsia="宋体" w:cs="宋体"/>
                <w:color w:val="000000"/>
                <w:kern w:val="0"/>
                <w:sz w:val="18"/>
                <w:szCs w:val="18"/>
                <w:lang w:val="en-US" w:eastAsia="zh-CN" w:bidi="ar"/>
              </w:rPr>
              <w:t>/</w:t>
            </w:r>
          </w:p>
        </w:tc>
        <w:tc>
          <w:tcPr>
            <w:tcW w:w="1276" w:type="dxa"/>
            <w:vAlign w:val="top"/>
          </w:tcPr>
          <w:p>
            <w:pPr>
              <w:jc w:val="center"/>
            </w:pPr>
            <w:r>
              <w:rPr>
                <w:rFonts w:hint="eastAsia" w:ascii="宋体" w:hAnsi="宋体" w:eastAsia="宋体" w:cs="宋体"/>
                <w:color w:val="000000"/>
                <w:kern w:val="0"/>
                <w:sz w:val="18"/>
                <w:szCs w:val="18"/>
                <w:lang w:val="en-US" w:eastAsia="zh-CN" w:bidi="ar"/>
              </w:rPr>
              <w:t>/</w:t>
            </w:r>
          </w:p>
        </w:tc>
        <w:tc>
          <w:tcPr>
            <w:tcW w:w="1275" w:type="dxa"/>
            <w:vAlign w:val="top"/>
          </w:tcPr>
          <w:p>
            <w:pPr>
              <w:jc w:val="center"/>
            </w:pPr>
            <w:r>
              <w:rPr>
                <w:rFonts w:hint="eastAsia" w:ascii="宋体" w:hAnsi="宋体" w:eastAsia="宋体" w:cs="宋体"/>
                <w:color w:val="000000"/>
                <w:kern w:val="0"/>
                <w:sz w:val="18"/>
                <w:szCs w:val="18"/>
                <w:lang w:val="en-US" w:eastAsia="zh-CN" w:bidi="ar"/>
              </w:rPr>
              <w:t>/</w:t>
            </w:r>
          </w:p>
        </w:tc>
        <w:tc>
          <w:tcPr>
            <w:tcW w:w="1245" w:type="dxa"/>
            <w:vAlign w:val="top"/>
          </w:tcPr>
          <w:p>
            <w:pPr>
              <w:jc w:val="center"/>
            </w:pPr>
            <w:r>
              <w:rPr>
                <w:rFonts w:hint="eastAsia" w:ascii="宋体" w:hAnsi="宋体" w:eastAsia="宋体" w:cs="宋体"/>
                <w:color w:val="000000"/>
                <w:kern w:val="0"/>
                <w:sz w:val="18"/>
                <w:szCs w:val="18"/>
                <w:lang w:val="en-US" w:eastAsia="zh-CN" w:bidi="ar"/>
              </w:rPr>
              <w:t>/</w:t>
            </w:r>
          </w:p>
        </w:tc>
        <w:tc>
          <w:tcPr>
            <w:tcW w:w="1154" w:type="dxa"/>
            <w:vAlign w:val="top"/>
          </w:tcPr>
          <w:p>
            <w:pPr>
              <w:jc w:val="center"/>
            </w:pPr>
            <w:r>
              <w:rPr>
                <w:rFonts w:hint="eastAsia" w:ascii="宋体" w:hAnsi="宋体" w:eastAsia="宋体" w:cs="宋体"/>
                <w:color w:val="000000"/>
                <w:kern w:val="0"/>
                <w:sz w:val="18"/>
                <w:szCs w:val="18"/>
                <w:lang w:val="en-US" w:eastAsia="zh-CN" w:bidi="ar"/>
              </w:rPr>
              <w:t>/</w:t>
            </w:r>
          </w:p>
        </w:tc>
        <w:tc>
          <w:tcPr>
            <w:tcW w:w="1052" w:type="dxa"/>
            <w:vAlign w:val="top"/>
          </w:tcPr>
          <w:p>
            <w:pPr>
              <w:jc w:val="center"/>
            </w:pPr>
            <w:r>
              <w:rPr>
                <w:rFonts w:hint="eastAsia" w:ascii="宋体" w:hAnsi="宋体" w:eastAsia="宋体" w:cs="宋体"/>
                <w:color w:val="000000"/>
                <w:kern w:val="0"/>
                <w:sz w:val="18"/>
                <w:szCs w:val="18"/>
                <w:lang w:val="en-US" w:eastAsia="zh-CN" w:bidi="ar"/>
              </w:rPr>
              <w:t>/</w:t>
            </w:r>
          </w:p>
        </w:tc>
        <w:tc>
          <w:tcPr>
            <w:tcW w:w="1369" w:type="dxa"/>
            <w:vAlign w:val="top"/>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top"/>
          </w:tcPr>
          <w:p>
            <w:pPr>
              <w:jc w:val="center"/>
            </w:pPr>
            <w:r>
              <w:rPr>
                <w:rFonts w:hint="eastAsia" w:ascii="宋体" w:hAnsi="宋体" w:eastAsia="宋体" w:cs="宋体"/>
                <w:color w:val="000000"/>
                <w:kern w:val="0"/>
                <w:sz w:val="18"/>
                <w:szCs w:val="18"/>
                <w:lang w:val="en-US" w:eastAsia="zh-CN" w:bidi="ar"/>
              </w:rPr>
              <w:t>/</w:t>
            </w:r>
          </w:p>
        </w:tc>
        <w:tc>
          <w:tcPr>
            <w:tcW w:w="1403" w:type="dxa"/>
            <w:vAlign w:val="top"/>
          </w:tcPr>
          <w:p>
            <w:pPr>
              <w:jc w:val="center"/>
            </w:pPr>
            <w:r>
              <w:rPr>
                <w:rFonts w:hint="eastAsia" w:ascii="宋体" w:hAnsi="宋体" w:eastAsia="宋体" w:cs="宋体"/>
                <w:color w:val="000000"/>
                <w:kern w:val="0"/>
                <w:sz w:val="18"/>
                <w:szCs w:val="18"/>
                <w:lang w:val="en-US" w:eastAsia="zh-CN" w:bidi="ar"/>
              </w:rPr>
              <w:t>/</w:t>
            </w:r>
          </w:p>
        </w:tc>
        <w:tc>
          <w:tcPr>
            <w:tcW w:w="1843" w:type="dxa"/>
            <w:vAlign w:val="top"/>
          </w:tcPr>
          <w:p>
            <w:pPr>
              <w:jc w:val="center"/>
            </w:pPr>
            <w:r>
              <w:rPr>
                <w:rFonts w:hint="eastAsia" w:ascii="宋体" w:hAnsi="宋体" w:eastAsia="宋体" w:cs="宋体"/>
                <w:color w:val="000000"/>
                <w:kern w:val="0"/>
                <w:sz w:val="18"/>
                <w:szCs w:val="18"/>
                <w:lang w:val="en-US" w:eastAsia="zh-CN" w:bidi="ar"/>
              </w:rPr>
              <w:t>/</w:t>
            </w:r>
          </w:p>
        </w:tc>
        <w:tc>
          <w:tcPr>
            <w:tcW w:w="1276" w:type="dxa"/>
            <w:vAlign w:val="top"/>
          </w:tcPr>
          <w:p>
            <w:pPr>
              <w:jc w:val="center"/>
            </w:pPr>
            <w:r>
              <w:rPr>
                <w:rFonts w:hint="eastAsia" w:ascii="宋体" w:hAnsi="宋体" w:eastAsia="宋体" w:cs="宋体"/>
                <w:color w:val="000000"/>
                <w:kern w:val="0"/>
                <w:sz w:val="18"/>
                <w:szCs w:val="18"/>
                <w:lang w:val="en-US" w:eastAsia="zh-CN" w:bidi="ar"/>
              </w:rPr>
              <w:t>/</w:t>
            </w:r>
          </w:p>
        </w:tc>
        <w:tc>
          <w:tcPr>
            <w:tcW w:w="1559" w:type="dxa"/>
            <w:vAlign w:val="top"/>
          </w:tcPr>
          <w:p>
            <w:pPr>
              <w:jc w:val="center"/>
            </w:pPr>
            <w:r>
              <w:rPr>
                <w:rFonts w:hint="eastAsia" w:ascii="宋体" w:hAnsi="宋体" w:eastAsia="宋体" w:cs="宋体"/>
                <w:color w:val="000000"/>
                <w:kern w:val="0"/>
                <w:sz w:val="18"/>
                <w:szCs w:val="18"/>
                <w:lang w:val="en-US" w:eastAsia="zh-CN" w:bidi="ar"/>
              </w:rPr>
              <w:t>/</w:t>
            </w:r>
          </w:p>
        </w:tc>
        <w:tc>
          <w:tcPr>
            <w:tcW w:w="1560" w:type="dxa"/>
            <w:vAlign w:val="top"/>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招商银行根据法规、托管协议以及双方约定的投资监督条款，对渝农商理财江渝财富天添金益进封闭式2021年第51002期理财产品的投资行为进行监督。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在对渝农商理财江渝财富天添金益进封闭式2021年第51002期理财产品托管的过程中，严格遵守有关法律法规、托管协议的规定，尽职尽责地履行托管义务并安全保管托管资产。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FB525EE"/>
    <w:rsid w:val="0FC53136"/>
    <w:rsid w:val="0FE909DC"/>
    <w:rsid w:val="109116D6"/>
    <w:rsid w:val="12570CDF"/>
    <w:rsid w:val="12931977"/>
    <w:rsid w:val="12BD274E"/>
    <w:rsid w:val="13814A1B"/>
    <w:rsid w:val="145B1C45"/>
    <w:rsid w:val="154F13DA"/>
    <w:rsid w:val="15F40A44"/>
    <w:rsid w:val="16344310"/>
    <w:rsid w:val="168610F5"/>
    <w:rsid w:val="182721AC"/>
    <w:rsid w:val="18FB1CF2"/>
    <w:rsid w:val="197D5ABF"/>
    <w:rsid w:val="19A54864"/>
    <w:rsid w:val="1AB60040"/>
    <w:rsid w:val="1BDE0CAD"/>
    <w:rsid w:val="1C760FBE"/>
    <w:rsid w:val="1D3F0AD5"/>
    <w:rsid w:val="1D745E81"/>
    <w:rsid w:val="1F670F77"/>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84A1DB9"/>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F0263F"/>
    <w:rsid w:val="4E6C5390"/>
    <w:rsid w:val="4F05414C"/>
    <w:rsid w:val="51EC6135"/>
    <w:rsid w:val="572F2943"/>
    <w:rsid w:val="57D83C46"/>
    <w:rsid w:val="586214C2"/>
    <w:rsid w:val="58EA24C1"/>
    <w:rsid w:val="590A25B0"/>
    <w:rsid w:val="5A622306"/>
    <w:rsid w:val="5AB01723"/>
    <w:rsid w:val="5D5E2859"/>
    <w:rsid w:val="621F0476"/>
    <w:rsid w:val="6230351A"/>
    <w:rsid w:val="628A5388"/>
    <w:rsid w:val="63D37DC1"/>
    <w:rsid w:val="671D7CC1"/>
    <w:rsid w:val="687C70C4"/>
    <w:rsid w:val="69074462"/>
    <w:rsid w:val="695E0C31"/>
    <w:rsid w:val="6A250A96"/>
    <w:rsid w:val="6C9B0C01"/>
    <w:rsid w:val="6D5B3725"/>
    <w:rsid w:val="6E546A74"/>
    <w:rsid w:val="6F1D1870"/>
    <w:rsid w:val="6FA67F07"/>
    <w:rsid w:val="70314F7E"/>
    <w:rsid w:val="722D0261"/>
    <w:rsid w:val="73322D14"/>
    <w:rsid w:val="75736568"/>
    <w:rsid w:val="75DF65EA"/>
    <w:rsid w:val="773E6275"/>
    <w:rsid w:val="788C0951"/>
    <w:rsid w:val="78BF4C1C"/>
    <w:rsid w:val="78C3218A"/>
    <w:rsid w:val="79882DEC"/>
    <w:rsid w:val="79A273C6"/>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2021-07-21T02:02:21Z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