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江渝财富“天添金”渝</w:t>
      </w:r>
      <w:r>
        <w:rPr>
          <w:rFonts w:asciiTheme="majorEastAsia" w:hAnsiTheme="majorEastAsia" w:eastAsiaTheme="majorEastAsia"/>
          <w:b/>
          <w:sz w:val="32"/>
          <w:szCs w:val="32"/>
        </w:rPr>
        <w:t>快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宝</w:t>
      </w:r>
      <w:r>
        <w:rPr>
          <w:rFonts w:asciiTheme="majorEastAsia" w:hAnsiTheme="majorEastAsia" w:eastAsiaTheme="majorEastAsia"/>
          <w:b/>
          <w:sz w:val="32"/>
          <w:szCs w:val="32"/>
        </w:rPr>
        <w:t>公募开放式理财产品调整公告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/>
        <w:jc w:val="left"/>
        <w:rPr>
          <w:rFonts w:cs="Arial" w:asciiTheme="minorEastAsia" w:hAnsiTheme="minorEastAsia"/>
          <w:color w:val="000000"/>
          <w:szCs w:val="21"/>
        </w:rPr>
      </w:pPr>
      <w:r>
        <w:rPr>
          <w:rFonts w:cs="Arial" w:asciiTheme="minorEastAsia" w:hAnsiTheme="minorEastAsia"/>
          <w:color w:val="000000"/>
          <w:szCs w:val="21"/>
        </w:rPr>
        <w:t>为更好的提供客户服务，维护客户权益，维持产品的正常投资运作，渝农商理财有限责任公司将对</w:t>
      </w:r>
      <w:r>
        <w:rPr>
          <w:rFonts w:hint="eastAsia" w:asciiTheme="minorEastAsia" w:hAnsiTheme="minorEastAsia"/>
          <w:szCs w:val="21"/>
        </w:rPr>
        <w:t>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cs="Arial" w:asciiTheme="minorEastAsia" w:hAnsiTheme="minorEastAsia"/>
          <w:color w:val="000000"/>
          <w:szCs w:val="21"/>
        </w:rPr>
        <w:t>渝</w:t>
      </w:r>
      <w:r>
        <w:rPr>
          <w:rFonts w:cs="Arial" w:asciiTheme="minorEastAsia" w:hAnsiTheme="minorEastAsia"/>
          <w:color w:val="000000"/>
          <w:szCs w:val="21"/>
        </w:rPr>
        <w:t>快宝公募开放式理财产品销售文件</w:t>
      </w:r>
      <w:r>
        <w:rPr>
          <w:rFonts w:hint="eastAsia" w:cs="Arial" w:asciiTheme="minorEastAsia" w:hAnsiTheme="minorEastAsia"/>
          <w:color w:val="000000"/>
          <w:szCs w:val="21"/>
        </w:rPr>
        <w:t>部分内容</w:t>
      </w:r>
      <w:r>
        <w:rPr>
          <w:rFonts w:cs="Arial" w:asciiTheme="minorEastAsia" w:hAnsiTheme="minorEastAsia"/>
          <w:color w:val="000000"/>
          <w:szCs w:val="21"/>
        </w:rPr>
        <w:t>进行</w:t>
      </w:r>
      <w:r>
        <w:rPr>
          <w:rFonts w:hint="eastAsia" w:cs="Arial" w:asciiTheme="minorEastAsia" w:hAnsiTheme="minorEastAsia"/>
          <w:color w:val="000000"/>
          <w:szCs w:val="21"/>
        </w:rPr>
        <w:t>调整。</w:t>
      </w:r>
      <w:r>
        <w:rPr>
          <w:rFonts w:cs="Arial" w:asciiTheme="minorEastAsia" w:hAnsiTheme="minorEastAsia"/>
          <w:color w:val="000000"/>
          <w:szCs w:val="21"/>
        </w:rPr>
        <w:t>具体调整</w:t>
      </w:r>
      <w:r>
        <w:rPr>
          <w:rFonts w:hint="eastAsia" w:cs="Arial" w:asciiTheme="minorEastAsia" w:hAnsiTheme="minorEastAsia"/>
          <w:color w:val="000000"/>
          <w:szCs w:val="21"/>
        </w:rPr>
        <w:t>内容</w:t>
      </w:r>
      <w:r>
        <w:rPr>
          <w:rFonts w:cs="Arial" w:asciiTheme="minorEastAsia" w:hAnsiTheme="minorEastAsia"/>
          <w:color w:val="000000"/>
          <w:szCs w:val="21"/>
        </w:rPr>
        <w:t>如下：</w:t>
      </w:r>
    </w:p>
    <w:p>
      <w:pPr>
        <w:pStyle w:val="11"/>
        <w:ind w:left="432" w:firstLine="0"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理财产品费用</w:t>
      </w:r>
      <w:r>
        <w:rPr>
          <w:rFonts w:hint="eastAsia" w:asciiTheme="minorEastAsia" w:hAnsiTheme="minorEastAsia"/>
          <w:szCs w:val="21"/>
        </w:rPr>
        <w:t>：</w:t>
      </w:r>
    </w:p>
    <w:p>
      <w:pPr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“固定管理费率为1</w:t>
      </w:r>
      <w:r>
        <w:rPr>
          <w:rFonts w:asciiTheme="minorEastAsia" w:hAnsiTheme="minorEastAsia"/>
          <w:szCs w:val="21"/>
        </w:rPr>
        <w:t>.</w:t>
      </w:r>
      <w:r>
        <w:rPr>
          <w:rFonts w:hint="eastAsia" w:asciiTheme="minorEastAsia" w:hAnsiTheme="minorEastAsia"/>
          <w:szCs w:val="21"/>
          <w:lang w:val="en-US" w:eastAsia="zh-CN"/>
        </w:rPr>
        <w:t>05</w:t>
      </w:r>
      <w:r>
        <w:rPr>
          <w:rFonts w:hint="eastAsia" w:asciiTheme="minorEastAsia" w:hAnsiTheme="minorEastAsia"/>
          <w:szCs w:val="21"/>
        </w:rPr>
        <w:t>%”调整为“固定管理费率为</w:t>
      </w:r>
      <w:r>
        <w:rPr>
          <w:rFonts w:hint="eastAsia" w:asciiTheme="minorEastAsia" w:hAnsiTheme="minorEastAsia"/>
          <w:szCs w:val="21"/>
          <w:lang w:val="en-US" w:eastAsia="zh-CN"/>
        </w:rPr>
        <w:t>0.80</w:t>
      </w:r>
      <w:r>
        <w:rPr>
          <w:rFonts w:hint="eastAsia" w:asciiTheme="minorEastAsia" w:hAnsiTheme="minorEastAsia"/>
          <w:szCs w:val="21"/>
        </w:rPr>
        <w:t>%”。</w:t>
      </w:r>
    </w:p>
    <w:p>
      <w:pPr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本次</w:t>
      </w:r>
      <w:r>
        <w:rPr>
          <w:rFonts w:hint="eastAsia" w:asciiTheme="minorEastAsia" w:hAnsiTheme="minorEastAsia"/>
          <w:szCs w:val="21"/>
        </w:rPr>
        <w:t>调整</w:t>
      </w:r>
      <w:r>
        <w:rPr>
          <w:rFonts w:asciiTheme="minorEastAsia" w:hAnsiTheme="minorEastAsia"/>
          <w:szCs w:val="21"/>
        </w:rPr>
        <w:t>后的理财产品销售文件自2021年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asciiTheme="minorEastAsia" w:hAnsiTheme="minorEastAsia"/>
          <w:szCs w:val="21"/>
        </w:rPr>
        <w:t xml:space="preserve">日生效。 </w:t>
      </w:r>
      <w:r>
        <w:rPr>
          <w:rFonts w:hint="eastAsia" w:asciiTheme="minorEastAsia" w:hAnsiTheme="minorEastAsia"/>
          <w:szCs w:val="21"/>
        </w:rPr>
        <w:t>在</w:t>
      </w:r>
      <w:r>
        <w:rPr>
          <w:rFonts w:asciiTheme="minorEastAsia" w:hAnsiTheme="minorEastAsia"/>
          <w:szCs w:val="21"/>
        </w:rPr>
        <w:t>生效日（含）之后，申购/赎回本理财产品的投资者，适用</w:t>
      </w:r>
      <w:r>
        <w:rPr>
          <w:rFonts w:hint="eastAsia" w:asciiTheme="minorEastAsia" w:hAnsiTheme="minorEastAsia"/>
          <w:szCs w:val="21"/>
        </w:rPr>
        <w:t>调整</w:t>
      </w:r>
      <w:r>
        <w:rPr>
          <w:rFonts w:asciiTheme="minorEastAsia" w:hAnsiTheme="minorEastAsia"/>
          <w:szCs w:val="21"/>
        </w:rPr>
        <w:t>后的理财产品销售文件。</w:t>
      </w:r>
      <w:r>
        <w:rPr>
          <w:rFonts w:hint="eastAsia" w:asciiTheme="minorEastAsia" w:hAnsiTheme="minorEastAsia"/>
          <w:szCs w:val="21"/>
        </w:rPr>
        <w:t>在</w:t>
      </w:r>
      <w:r>
        <w:rPr>
          <w:rFonts w:asciiTheme="minorEastAsia" w:hAnsiTheme="minorEastAsia"/>
          <w:szCs w:val="21"/>
        </w:rPr>
        <w:t>生效日之前，已持有本理财产品份额并已签署原理财产品销售文件的投资者，若不接受本次产品管理人对理财产品销售文件</w:t>
      </w:r>
      <w:r>
        <w:rPr>
          <w:rFonts w:hint="eastAsia" w:asciiTheme="minorEastAsia" w:hAnsiTheme="minorEastAsia"/>
          <w:szCs w:val="21"/>
        </w:rPr>
        <w:t>的</w:t>
      </w:r>
      <w:r>
        <w:rPr>
          <w:rFonts w:asciiTheme="minorEastAsia" w:hAnsiTheme="minorEastAsia"/>
          <w:szCs w:val="21"/>
        </w:rPr>
        <w:t>调整，可以依照已签署的原理财产品销售文件的约定赎回</w:t>
      </w:r>
      <w:r>
        <w:rPr>
          <w:rFonts w:hint="eastAsia" w:asciiTheme="minorEastAsia" w:hAnsiTheme="minorEastAsia"/>
          <w:szCs w:val="21"/>
        </w:rPr>
        <w:t>本</w:t>
      </w:r>
      <w:r>
        <w:rPr>
          <w:rFonts w:asciiTheme="minorEastAsia" w:hAnsiTheme="minorEastAsia"/>
          <w:szCs w:val="21"/>
        </w:rPr>
        <w:t>理财产品，若投资者未进行赎回并继续持有本理财产品，则视同认可本次理财产品销售文件的</w:t>
      </w:r>
      <w:r>
        <w:rPr>
          <w:rFonts w:hint="eastAsia" w:asciiTheme="minorEastAsia" w:hAnsiTheme="minorEastAsia"/>
          <w:szCs w:val="21"/>
        </w:rPr>
        <w:t>调整且</w:t>
      </w:r>
      <w:r>
        <w:rPr>
          <w:rFonts w:asciiTheme="minorEastAsia" w:hAnsiTheme="minorEastAsia"/>
          <w:szCs w:val="21"/>
        </w:rPr>
        <w:t>同意适用修订后的理财产品销售文件。</w:t>
      </w:r>
    </w:p>
    <w:p>
      <w:pPr>
        <w:rPr>
          <w:rFonts w:asciiTheme="minorEastAsia" w:hAnsiTheme="minorEastAsia"/>
          <w:szCs w:val="21"/>
        </w:rPr>
      </w:pP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特此公告</w:t>
      </w:r>
      <w:r>
        <w:rPr>
          <w:rFonts w:asciiTheme="minorEastAsia" w:hAnsiTheme="minorEastAsia"/>
          <w:szCs w:val="21"/>
        </w:rPr>
        <w:t>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ind w:right="440" w:firstLine="5460" w:firstLineChars="2600"/>
        <w:rPr>
          <w:rFonts w:asciiTheme="minorEastAsia" w:hAnsiTheme="minorEastAsia"/>
          <w:szCs w:val="21"/>
        </w:rPr>
      </w:pPr>
      <w:r>
        <w:rPr>
          <w:rFonts w:cs="Arial" w:asciiTheme="minorEastAsia" w:hAnsiTheme="minorEastAsia"/>
          <w:color w:val="000000"/>
          <w:szCs w:val="21"/>
        </w:rPr>
        <w:t>渝农商理财有限责任公司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</w:t>
      </w:r>
    </w:p>
    <w:p>
      <w:pPr>
        <w:ind w:right="440" w:firstLine="5775" w:firstLineChars="275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20</w:t>
      </w:r>
      <w:r>
        <w:rPr>
          <w:rFonts w:asciiTheme="minorEastAsia" w:hAnsiTheme="minorEastAsia"/>
          <w:szCs w:val="21"/>
        </w:rPr>
        <w:t>21年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>
      <w:pPr>
        <w:jc w:val="right"/>
        <w:rPr>
          <w:sz w:val="22"/>
        </w:rPr>
      </w:pPr>
    </w:p>
    <w:p>
      <w:pPr>
        <w:jc w:val="right"/>
        <w:rPr>
          <w:sz w:val="22"/>
        </w:rPr>
      </w:pPr>
    </w:p>
    <w:p>
      <w:pPr>
        <w:rPr>
          <w:sz w:val="22"/>
        </w:rPr>
      </w:pPr>
    </w:p>
    <w:p>
      <w:pPr>
        <w:jc w:val="right"/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4E3"/>
    <w:rsid w:val="000316AE"/>
    <w:rsid w:val="000605AE"/>
    <w:rsid w:val="0007029C"/>
    <w:rsid w:val="00097C54"/>
    <w:rsid w:val="000C6476"/>
    <w:rsid w:val="00101DBD"/>
    <w:rsid w:val="001366B5"/>
    <w:rsid w:val="00146F30"/>
    <w:rsid w:val="00151E0C"/>
    <w:rsid w:val="00226692"/>
    <w:rsid w:val="002270F4"/>
    <w:rsid w:val="00240A80"/>
    <w:rsid w:val="0029015F"/>
    <w:rsid w:val="002A028C"/>
    <w:rsid w:val="002B14D9"/>
    <w:rsid w:val="002D2291"/>
    <w:rsid w:val="002F7B14"/>
    <w:rsid w:val="0031338E"/>
    <w:rsid w:val="003253BB"/>
    <w:rsid w:val="00350F06"/>
    <w:rsid w:val="00360825"/>
    <w:rsid w:val="00380B40"/>
    <w:rsid w:val="003B2D6D"/>
    <w:rsid w:val="003B6C8E"/>
    <w:rsid w:val="003F6A12"/>
    <w:rsid w:val="00414E57"/>
    <w:rsid w:val="004174FB"/>
    <w:rsid w:val="004437E5"/>
    <w:rsid w:val="004616CA"/>
    <w:rsid w:val="00462A60"/>
    <w:rsid w:val="004750CB"/>
    <w:rsid w:val="004A066A"/>
    <w:rsid w:val="004B15FE"/>
    <w:rsid w:val="00546C64"/>
    <w:rsid w:val="0057526E"/>
    <w:rsid w:val="00576765"/>
    <w:rsid w:val="005946EE"/>
    <w:rsid w:val="005A0BA6"/>
    <w:rsid w:val="005B2103"/>
    <w:rsid w:val="006246D9"/>
    <w:rsid w:val="00651362"/>
    <w:rsid w:val="00670561"/>
    <w:rsid w:val="00681038"/>
    <w:rsid w:val="0069135B"/>
    <w:rsid w:val="0069439D"/>
    <w:rsid w:val="00697861"/>
    <w:rsid w:val="006A0DF7"/>
    <w:rsid w:val="006F4B6D"/>
    <w:rsid w:val="007877FC"/>
    <w:rsid w:val="007B630F"/>
    <w:rsid w:val="007D3D53"/>
    <w:rsid w:val="007D44F4"/>
    <w:rsid w:val="008604E3"/>
    <w:rsid w:val="00871118"/>
    <w:rsid w:val="00894BDE"/>
    <w:rsid w:val="008A0991"/>
    <w:rsid w:val="008F4DE0"/>
    <w:rsid w:val="00945E9B"/>
    <w:rsid w:val="00977CC4"/>
    <w:rsid w:val="009D5ECE"/>
    <w:rsid w:val="009E5B33"/>
    <w:rsid w:val="00A000DE"/>
    <w:rsid w:val="00A13826"/>
    <w:rsid w:val="00A21FEC"/>
    <w:rsid w:val="00A341A6"/>
    <w:rsid w:val="00A40151"/>
    <w:rsid w:val="00A46754"/>
    <w:rsid w:val="00A47FD8"/>
    <w:rsid w:val="00AB49AC"/>
    <w:rsid w:val="00B122D6"/>
    <w:rsid w:val="00B359C7"/>
    <w:rsid w:val="00B43869"/>
    <w:rsid w:val="00B65ACE"/>
    <w:rsid w:val="00B87DE3"/>
    <w:rsid w:val="00BA2129"/>
    <w:rsid w:val="00BC013F"/>
    <w:rsid w:val="00BD34A0"/>
    <w:rsid w:val="00C02B82"/>
    <w:rsid w:val="00C1486D"/>
    <w:rsid w:val="00C21DBD"/>
    <w:rsid w:val="00C36D0B"/>
    <w:rsid w:val="00C44E32"/>
    <w:rsid w:val="00C501EC"/>
    <w:rsid w:val="00C63ECF"/>
    <w:rsid w:val="00C87279"/>
    <w:rsid w:val="00CA0D4B"/>
    <w:rsid w:val="00CA3664"/>
    <w:rsid w:val="00CB5450"/>
    <w:rsid w:val="00D05006"/>
    <w:rsid w:val="00D32C8C"/>
    <w:rsid w:val="00D33E36"/>
    <w:rsid w:val="00D62E0F"/>
    <w:rsid w:val="00D7749B"/>
    <w:rsid w:val="00DF6B9D"/>
    <w:rsid w:val="00E31397"/>
    <w:rsid w:val="00E3418D"/>
    <w:rsid w:val="00E35597"/>
    <w:rsid w:val="00E4591A"/>
    <w:rsid w:val="00E90D4B"/>
    <w:rsid w:val="00EA4A4F"/>
    <w:rsid w:val="00EC607A"/>
    <w:rsid w:val="00F3293F"/>
    <w:rsid w:val="00F348E8"/>
    <w:rsid w:val="00F47E08"/>
    <w:rsid w:val="00F67B18"/>
    <w:rsid w:val="00FB0182"/>
    <w:rsid w:val="00FB435D"/>
    <w:rsid w:val="00FC47E2"/>
    <w:rsid w:val="00FD400F"/>
    <w:rsid w:val="00FE18AC"/>
    <w:rsid w:val="4E147E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7B8C8D-CD5F-4D8E-AC06-0E1937B778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86</Words>
  <Characters>494</Characters>
  <Lines>4</Lines>
  <Paragraphs>1</Paragraphs>
  <TotalTime>215</TotalTime>
  <ScaleCrop>false</ScaleCrop>
  <LinksUpToDate>false</LinksUpToDate>
  <CharactersWithSpaces>579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2017-12-13T14:23:00Z</dcterms:created>
  <dc:creator>总行李笑一</dc:creator>
  <cp:lastModifiedBy>赵玲利</cp:lastModifiedBy>
  <cp:lastPrinted>2019-07-16T02:40:00Z</cp:lastPrinted>
  <dcterms:modified xsi:type="dcterms:W3CDTF">2021-11-05T01:30:46Z</dcterms:modified>
  <cp:revision>510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24E04809A5EF4B04A0D6FCF5FF0329BF</vt:lpwstr>
  </property>
</Properties>
</file>