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color w:val="auto"/>
          <w:sz w:val="44"/>
          <w:szCs w:val="44"/>
        </w:rPr>
      </w:pPr>
      <w:bookmarkStart w:id="4" w:name="_GoBack"/>
    </w:p>
    <w:p>
      <w:pPr>
        <w:ind w:firstLine="2182" w:firstLineChars="494"/>
        <w:rPr>
          <w:rFonts w:hint="default" w:ascii="Times New Roman" w:hAnsi="Times New Roman" w:cs="Times New Roman"/>
          <w:b/>
          <w:color w:val="auto"/>
          <w:sz w:val="44"/>
          <w:szCs w:val="44"/>
        </w:rPr>
      </w:pPr>
    </w:p>
    <w:p>
      <w:pPr>
        <w:ind w:firstLine="442" w:firstLineChars="100"/>
        <w:rPr>
          <w:rFonts w:hint="default" w:ascii="Times New Roman" w:hAnsi="Times New Roman" w:cs="Times New Roman"/>
          <w:b/>
          <w:color w:val="auto"/>
          <w:sz w:val="44"/>
          <w:szCs w:val="44"/>
        </w:rPr>
      </w:pPr>
    </w:p>
    <w:p>
      <w:pPr>
        <w:ind w:left="-420" w:leftChars="-200" w:right="-512" w:rightChars="-244"/>
        <w:jc w:val="center"/>
        <w:rPr>
          <w:rFonts w:hint="default" w:ascii="Times New Roman" w:hAnsi="Times New Roman" w:eastAsia="方正小标宋_GBK" w:cs="Times New Roman"/>
          <w:bCs/>
          <w:color w:val="auto"/>
          <w:sz w:val="48"/>
          <w:szCs w:val="48"/>
        </w:rPr>
      </w:pPr>
      <w:r>
        <w:rPr>
          <w:rFonts w:hint="default" w:ascii="Times New Roman" w:hAnsi="Times New Roman" w:eastAsia="方正小标宋_GBK" w:cs="Times New Roman"/>
          <w:bCs/>
          <w:color w:val="auto"/>
          <w:sz w:val="48"/>
          <w:szCs w:val="48"/>
          <w:lang w:eastAsia="zh-CN"/>
        </w:rPr>
        <w:t>福建石狮</w:t>
      </w:r>
      <w:r>
        <w:rPr>
          <w:rFonts w:hint="default" w:ascii="Times New Roman" w:hAnsi="Times New Roman" w:eastAsia="方正小标宋_GBK" w:cs="Times New Roman"/>
          <w:bCs/>
          <w:color w:val="auto"/>
          <w:sz w:val="48"/>
          <w:szCs w:val="48"/>
        </w:rPr>
        <w:t>渝农商村镇银行有限责任公司</w:t>
      </w:r>
    </w:p>
    <w:p>
      <w:pPr>
        <w:ind w:firstLine="2380" w:firstLineChars="494"/>
        <w:rPr>
          <w:rFonts w:hint="default" w:ascii="Times New Roman" w:hAnsi="Times New Roman" w:cs="Times New Roman"/>
          <w:b/>
          <w:color w:val="auto"/>
          <w:sz w:val="48"/>
          <w:szCs w:val="48"/>
        </w:rPr>
      </w:pPr>
    </w:p>
    <w:p>
      <w:pPr>
        <w:rPr>
          <w:rFonts w:hint="default" w:ascii="Times New Roman" w:hAnsi="Times New Roman" w:eastAsia="方正小标宋_GBK" w:cs="Times New Roman"/>
          <w:bCs/>
          <w:color w:val="auto"/>
          <w:sz w:val="44"/>
          <w:szCs w:val="44"/>
        </w:rPr>
      </w:pP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20</w:t>
      </w:r>
      <w:r>
        <w:rPr>
          <w:rFonts w:hint="default" w:ascii="Times New Roman" w:hAnsi="Times New Roman" w:eastAsia="方正小标宋_GBK" w:cs="Times New Roman"/>
          <w:bCs/>
          <w:color w:val="auto"/>
          <w:sz w:val="44"/>
          <w:szCs w:val="44"/>
          <w:lang w:val="en-US" w:eastAsia="zh-CN"/>
        </w:rPr>
        <w:t>2</w:t>
      </w:r>
      <w:r>
        <w:rPr>
          <w:rFonts w:hint="eastAsia" w:ascii="Times New Roman" w:hAnsi="Times New Roman" w:eastAsia="方正小标宋_GBK" w:cs="Times New Roman"/>
          <w:bCs/>
          <w:color w:val="auto"/>
          <w:sz w:val="44"/>
          <w:szCs w:val="44"/>
          <w:lang w:val="en-US" w:eastAsia="zh-CN"/>
        </w:rPr>
        <w:t>3</w:t>
      </w:r>
      <w:r>
        <w:rPr>
          <w:rFonts w:hint="default" w:ascii="Times New Roman" w:hAnsi="Times New Roman" w:eastAsia="方正小标宋_GBK" w:cs="Times New Roman"/>
          <w:bCs/>
          <w:color w:val="auto"/>
          <w:sz w:val="44"/>
          <w:szCs w:val="44"/>
        </w:rPr>
        <w:t>年度</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信</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息</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披</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露</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报</w:t>
      </w:r>
    </w:p>
    <w:p>
      <w:pPr>
        <w:jc w:val="center"/>
        <w:rPr>
          <w:rFonts w:hint="default" w:ascii="Times New Roman" w:hAnsi="Times New Roman" w:cs="Times New Roman"/>
          <w:b/>
          <w:color w:val="auto"/>
          <w:sz w:val="44"/>
          <w:szCs w:val="44"/>
        </w:rPr>
      </w:pPr>
      <w:r>
        <w:rPr>
          <w:rFonts w:hint="default" w:ascii="Times New Roman" w:hAnsi="Times New Roman" w:eastAsia="方正小标宋_GBK" w:cs="Times New Roman"/>
          <w:bCs/>
          <w:color w:val="auto"/>
          <w:sz w:val="44"/>
          <w:szCs w:val="44"/>
        </w:rPr>
        <w:t>告</w:t>
      </w:r>
    </w:p>
    <w:p>
      <w:pPr>
        <w:jc w:val="center"/>
        <w:rPr>
          <w:rFonts w:hint="default" w:ascii="Times New Roman" w:hAnsi="Times New Roman" w:cs="Times New Roman"/>
          <w:b/>
          <w:color w:val="auto"/>
          <w:sz w:val="44"/>
          <w:szCs w:val="44"/>
        </w:rPr>
      </w:pPr>
    </w:p>
    <w:p>
      <w:pPr>
        <w:jc w:val="center"/>
        <w:rPr>
          <w:rFonts w:hint="default" w:ascii="Times New Roman" w:hAnsi="Times New Roman" w:cs="Times New Roman"/>
          <w:b/>
          <w:color w:val="auto"/>
          <w:sz w:val="44"/>
          <w:szCs w:val="44"/>
        </w:rPr>
      </w:pPr>
    </w:p>
    <w:p>
      <w:pPr>
        <w:widowControl/>
        <w:spacing w:line="360" w:lineRule="auto"/>
        <w:jc w:val="center"/>
        <w:rPr>
          <w:rFonts w:hint="default" w:ascii="Times New Roman" w:hAnsi="Times New Roman" w:eastAsia="仿宋_GB2312" w:cs="Times New Roman"/>
          <w:b/>
          <w:bCs/>
          <w:color w:val="auto"/>
          <w:kern w:val="0"/>
          <w:sz w:val="32"/>
          <w:szCs w:val="32"/>
          <w:lang w:eastAsia="zh-CN"/>
        </w:rPr>
      </w:pPr>
      <w:r>
        <w:rPr>
          <w:rFonts w:hint="default" w:ascii="Times New Roman" w:hAnsi="Times New Roman" w:eastAsia="仿宋_GB2312" w:cs="Times New Roman"/>
          <w:b/>
          <w:bCs/>
          <w:color w:val="auto"/>
          <w:kern w:val="0"/>
          <w:sz w:val="32"/>
          <w:szCs w:val="32"/>
          <w:lang w:eastAsia="zh-CN"/>
        </w:rPr>
        <w:drawing>
          <wp:inline distT="0" distB="0" distL="114300" distR="114300">
            <wp:extent cx="4096385" cy="690880"/>
            <wp:effectExtent l="0" t="0" r="3175" b="10160"/>
            <wp:docPr id="2"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2"/>
                    <pic:cNvPicPr>
                      <a:picLocks noChangeAspect="1"/>
                    </pic:cNvPicPr>
                  </pic:nvPicPr>
                  <pic:blipFill>
                    <a:blip r:embed="rId7"/>
                    <a:stretch>
                      <a:fillRect/>
                    </a:stretch>
                  </pic:blipFill>
                  <pic:spPr>
                    <a:xfrm>
                      <a:off x="0" y="0"/>
                      <a:ext cx="4096385" cy="690880"/>
                    </a:xfrm>
                    <a:prstGeom prst="rect">
                      <a:avLst/>
                    </a:prstGeom>
                  </pic:spPr>
                </pic:pic>
              </a:graphicData>
            </a:graphic>
          </wp:inline>
        </w:drawing>
      </w: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6"/>
          <w:szCs w:val="36"/>
        </w:rPr>
        <w:t>重要提示</w:t>
      </w:r>
    </w:p>
    <w:p>
      <w:pPr>
        <w:widowControl/>
        <w:spacing w:line="360" w:lineRule="auto"/>
        <w:ind w:firstLine="640" w:firstLineChars="200"/>
        <w:jc w:val="left"/>
        <w:rPr>
          <w:rFonts w:hint="default" w:ascii="Times New Roman" w:hAnsi="Times New Roman" w:eastAsia="仿宋_GB2312" w:cs="Times New Roman"/>
          <w:color w:val="auto"/>
          <w:kern w:val="0"/>
          <w:sz w:val="32"/>
          <w:szCs w:val="32"/>
        </w:rPr>
      </w:pPr>
    </w:p>
    <w:p>
      <w:pPr>
        <w:widowControl/>
        <w:spacing w:line="360" w:lineRule="auto"/>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一、本公司执行董事、高级管理人员保证本报告所载资料不存在任何虚假记载、误导性陈述或者重大遗漏，并对其内容的真实性、准确性和完整性承担责任。</w:t>
      </w:r>
    </w:p>
    <w:p>
      <w:pPr>
        <w:widowControl/>
        <w:spacing w:line="360" w:lineRule="auto"/>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二、20</w:t>
      </w:r>
      <w:r>
        <w:rPr>
          <w:rFonts w:hint="default" w:ascii="Times New Roman" w:hAnsi="Times New Roman" w:eastAsia="仿宋_GB2312" w:cs="Times New Roman"/>
          <w:color w:val="auto"/>
          <w:kern w:val="0"/>
          <w:sz w:val="32"/>
          <w:szCs w:val="32"/>
          <w:lang w:val="en-US" w:eastAsia="zh-CN"/>
        </w:rPr>
        <w:t>2</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年度按企业会计准则编制的财务数据已经</w:t>
      </w:r>
      <w:r>
        <w:rPr>
          <w:rFonts w:hint="default" w:ascii="Times New Roman" w:hAnsi="Times New Roman" w:eastAsia="仿宋_GB2312" w:cs="Times New Roman"/>
          <w:color w:val="auto"/>
          <w:kern w:val="0"/>
          <w:sz w:val="32"/>
          <w:szCs w:val="32"/>
          <w:lang w:eastAsia="zh-CN"/>
        </w:rPr>
        <w:t>毕马威华振会计师事务所（特殊普通合伙）</w:t>
      </w:r>
      <w:r>
        <w:rPr>
          <w:rFonts w:hint="default" w:ascii="Times New Roman" w:hAnsi="Times New Roman" w:eastAsia="仿宋_GB2312" w:cs="Times New Roman"/>
          <w:color w:val="auto"/>
          <w:kern w:val="0"/>
          <w:sz w:val="32"/>
          <w:szCs w:val="32"/>
        </w:rPr>
        <w:t>进行了审计，并出具了标准无保留意见的审计报告。</w:t>
      </w:r>
    </w:p>
    <w:p>
      <w:pPr>
        <w:widowControl/>
        <w:spacing w:line="360" w:lineRule="auto"/>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w:t>
      </w:r>
    </w:p>
    <w:p>
      <w:pPr>
        <w:widowControl/>
        <w:spacing w:line="360" w:lineRule="auto"/>
        <w:jc w:val="left"/>
        <w:rPr>
          <w:rFonts w:hint="default" w:ascii="Times New Roman" w:hAnsi="Times New Roman" w:eastAsia="仿宋_GB2312" w:cs="Times New Roman"/>
          <w:color w:val="auto"/>
          <w:kern w:val="0"/>
          <w:sz w:val="32"/>
          <w:szCs w:val="32"/>
        </w:rPr>
      </w:pPr>
    </w:p>
    <w:p>
      <w:pPr>
        <w:widowControl/>
        <w:spacing w:line="360" w:lineRule="auto"/>
        <w:ind w:firstLine="4320" w:firstLineChars="1350"/>
        <w:jc w:val="left"/>
        <w:rPr>
          <w:rFonts w:hint="default" w:ascii="Times New Roman" w:hAnsi="Times New Roman" w:eastAsia="仿宋_GB2312" w:cs="Times New Roman"/>
          <w:color w:val="auto"/>
          <w:kern w:val="0"/>
          <w:sz w:val="32"/>
          <w:szCs w:val="32"/>
        </w:rPr>
      </w:pPr>
    </w:p>
    <w:p>
      <w:pPr>
        <w:widowControl/>
        <w:spacing w:line="360" w:lineRule="auto"/>
        <w:ind w:firstLine="4320" w:firstLineChars="135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202</w:t>
      </w:r>
      <w:r>
        <w:rPr>
          <w:rFonts w:hint="eastAsia"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25</w:t>
      </w:r>
      <w:r>
        <w:rPr>
          <w:rFonts w:hint="default" w:ascii="Times New Roman" w:hAnsi="Times New Roman" w:eastAsia="仿宋_GB2312" w:cs="Times New Roman"/>
          <w:color w:val="auto"/>
          <w:kern w:val="0"/>
          <w:sz w:val="32"/>
          <w:szCs w:val="32"/>
        </w:rPr>
        <w:t>日</w:t>
      </w: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pStyle w:val="7"/>
        <w:tabs>
          <w:tab w:val="left" w:pos="1050"/>
        </w:tabs>
        <w:jc w:val="center"/>
        <w:rPr>
          <w:rFonts w:hint="default" w:ascii="Times New Roman" w:hAnsi="Times New Roman" w:cs="Times New Roman"/>
          <w:bCs w:val="0"/>
          <w:color w:val="auto"/>
          <w:spacing w:val="0"/>
          <w:sz w:val="44"/>
          <w:szCs w:val="44"/>
        </w:rPr>
      </w:pPr>
      <w:r>
        <w:rPr>
          <w:rFonts w:hint="default" w:ascii="Times New Roman" w:hAnsi="Times New Roman" w:cs="Times New Roman"/>
          <w:bCs w:val="0"/>
          <w:color w:val="auto"/>
          <w:spacing w:val="0"/>
          <w:sz w:val="44"/>
          <w:szCs w:val="44"/>
        </w:rPr>
        <w:t>目录</w:t>
      </w:r>
    </w:p>
    <w:p>
      <w:pPr>
        <w:pStyle w:val="7"/>
        <w:tabs>
          <w:tab w:val="left" w:pos="1050"/>
        </w:tabs>
        <w:rPr>
          <w:rFonts w:hint="default" w:ascii="Times New Roman" w:hAnsi="Times New Roman" w:cs="Times New Roman"/>
          <w:b w:val="0"/>
          <w:bCs w:val="0"/>
          <w:color w:val="auto"/>
          <w:spacing w:val="0"/>
          <w:sz w:val="32"/>
          <w:szCs w:val="32"/>
        </w:rPr>
      </w:pPr>
    </w:p>
    <w:p>
      <w:pPr>
        <w:pStyle w:val="7"/>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"_Toc359598603"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第一节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bCs w:val="0"/>
          <w:color w:val="auto"/>
          <w:spacing w:val="0"/>
          <w:sz w:val="32"/>
          <w:szCs w:val="32"/>
        </w:rPr>
        <w:t>公司基本情况简介</w:t>
      </w:r>
      <w:r>
        <w:rPr>
          <w:rFonts w:hint="default" w:ascii="Times New Roman" w:hAnsi="Times New Roman" w:cs="Times New Roman"/>
          <w:b w:val="0"/>
          <w:bCs w:val="0"/>
          <w:color w:val="auto"/>
          <w:spacing w:val="0"/>
          <w:sz w:val="32"/>
          <w:szCs w:val="32"/>
        </w:rPr>
        <w:fldChar w:fldCharType="end"/>
      </w:r>
    </w:p>
    <w:p>
      <w:pPr>
        <w:pStyle w:val="7"/>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"_Toc359598604"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第二节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color w:val="auto"/>
          <w:sz w:val="32"/>
          <w:szCs w:val="32"/>
        </w:rPr>
        <w:t>公司数据和业务数据摘要</w:t>
      </w:r>
      <w:r>
        <w:rPr>
          <w:rFonts w:hint="default" w:ascii="Times New Roman" w:hAnsi="Times New Roman" w:cs="Times New Roman"/>
          <w:b w:val="0"/>
          <w:bCs w:val="0"/>
          <w:color w:val="auto"/>
          <w:spacing w:val="0"/>
          <w:sz w:val="32"/>
          <w:szCs w:val="32"/>
        </w:rPr>
        <w:fldChar w:fldCharType="end"/>
      </w:r>
    </w:p>
    <w:p>
      <w:pPr>
        <w:pStyle w:val="7"/>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"_Toc359598605"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第三节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color w:val="auto"/>
          <w:sz w:val="32"/>
          <w:szCs w:val="32"/>
        </w:rPr>
        <w:t>股本变动和股东情况</w:t>
      </w:r>
      <w:r>
        <w:rPr>
          <w:rFonts w:hint="default" w:ascii="Times New Roman" w:hAnsi="Times New Roman" w:cs="Times New Roman"/>
          <w:b w:val="0"/>
          <w:bCs w:val="0"/>
          <w:color w:val="auto"/>
          <w:spacing w:val="0"/>
          <w:sz w:val="32"/>
          <w:szCs w:val="32"/>
        </w:rPr>
        <w:fldChar w:fldCharType="end"/>
      </w:r>
    </w:p>
    <w:p>
      <w:pPr>
        <w:pStyle w:val="7"/>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"_Toc359598606"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第四节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color w:val="auto"/>
          <w:sz w:val="32"/>
          <w:szCs w:val="32"/>
        </w:rPr>
        <w:t>董（监）事、高级管理人员和员工情况</w:t>
      </w:r>
      <w:r>
        <w:rPr>
          <w:rFonts w:hint="default" w:ascii="Times New Roman" w:hAnsi="Times New Roman" w:cs="Times New Roman"/>
          <w:b w:val="0"/>
          <w:bCs w:val="0"/>
          <w:color w:val="auto"/>
          <w:spacing w:val="0"/>
          <w:sz w:val="32"/>
          <w:szCs w:val="32"/>
        </w:rPr>
        <w:fldChar w:fldCharType="end"/>
      </w:r>
    </w:p>
    <w:p>
      <w:pPr>
        <w:pStyle w:val="7"/>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"_Toc359598607"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第五节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color w:val="auto"/>
          <w:sz w:val="32"/>
          <w:szCs w:val="32"/>
        </w:rPr>
        <w:t>部门设置情况</w:t>
      </w:r>
      <w:r>
        <w:rPr>
          <w:rFonts w:hint="default" w:ascii="Times New Roman" w:hAnsi="Times New Roman" w:cs="Times New Roman"/>
          <w:b w:val="0"/>
          <w:bCs w:val="0"/>
          <w:color w:val="auto"/>
          <w:spacing w:val="0"/>
          <w:sz w:val="32"/>
          <w:szCs w:val="32"/>
        </w:rPr>
        <w:fldChar w:fldCharType="end"/>
      </w:r>
    </w:p>
    <w:p>
      <w:pPr>
        <w:pStyle w:val="7"/>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"_Toc359598608"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第六节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color w:val="auto"/>
          <w:sz w:val="32"/>
          <w:szCs w:val="32"/>
        </w:rPr>
        <w:t>公司治理情况</w:t>
      </w:r>
      <w:r>
        <w:rPr>
          <w:rFonts w:hint="default" w:ascii="Times New Roman" w:hAnsi="Times New Roman" w:cs="Times New Roman"/>
          <w:b w:val="0"/>
          <w:bCs w:val="0"/>
          <w:color w:val="auto"/>
          <w:spacing w:val="0"/>
          <w:sz w:val="32"/>
          <w:szCs w:val="32"/>
        </w:rPr>
        <w:fldChar w:fldCharType="end"/>
      </w:r>
    </w:p>
    <w:p>
      <w:pPr>
        <w:pStyle w:val="7"/>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"_Toc359598609"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第七节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bCs w:val="0"/>
          <w:color w:val="auto"/>
          <w:spacing w:val="0"/>
          <w:sz w:val="32"/>
          <w:szCs w:val="32"/>
        </w:rPr>
        <w:t>公司主要业务情况</w:t>
      </w:r>
    </w:p>
    <w:p>
      <w:pPr>
        <w:pStyle w:val="7"/>
        <w:tabs>
          <w:tab w:val="left" w:pos="1050"/>
        </w:tabs>
        <w:rPr>
          <w:rFonts w:hint="default" w:ascii="Times New Roman" w:hAnsi="Times New Roman" w:cs="Times New Roman"/>
          <w:b w:val="0"/>
          <w:bCs w:val="0"/>
          <w:color w:val="auto"/>
          <w:spacing w:val="0"/>
          <w:sz w:val="32"/>
          <w:szCs w:val="32"/>
          <w:lang w:val="en-US" w:eastAsia="zh-CN"/>
        </w:rPr>
      </w:pPr>
      <w:r>
        <w:rPr>
          <w:rFonts w:hint="default" w:ascii="Times New Roman" w:hAnsi="Times New Roman" w:cs="Times New Roman"/>
          <w:b w:val="0"/>
          <w:bCs w:val="0"/>
          <w:color w:val="auto"/>
          <w:spacing w:val="0"/>
          <w:sz w:val="32"/>
          <w:szCs w:val="32"/>
        </w:rPr>
        <w:fldChar w:fldCharType="end"/>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"_Toc359598607"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第八节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bCs w:val="0"/>
          <w:color w:val="auto"/>
          <w:spacing w:val="0"/>
          <w:sz w:val="32"/>
          <w:szCs w:val="32"/>
        </w:rPr>
        <w:t>全面风险管理情况</w:t>
      </w:r>
      <w:r>
        <w:rPr>
          <w:rFonts w:hint="default" w:ascii="Times New Roman" w:hAnsi="Times New Roman" w:cs="Times New Roman"/>
          <w:b w:val="0"/>
          <w:bCs w:val="0"/>
          <w:color w:val="auto"/>
          <w:spacing w:val="0"/>
          <w:sz w:val="32"/>
          <w:szCs w:val="32"/>
        </w:rPr>
        <w:fldChar w:fldCharType="end"/>
      </w:r>
    </w:p>
    <w:p>
      <w:pPr>
        <w:pStyle w:val="7"/>
        <w:tabs>
          <w:tab w:val="left" w:pos="1050"/>
        </w:tabs>
        <w:rPr>
          <w:rFonts w:hint="default"/>
          <w:b/>
          <w:bCs/>
          <w:lang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"_Toc359598608"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第九节</w:t>
      </w:r>
      <w:r>
        <w:rPr>
          <w:rFonts w:hint="default" w:ascii="Times New Roman" w:hAnsi="Times New Roman" w:cs="Times New Roman"/>
          <w:b w:val="0"/>
          <w:bCs w:val="0"/>
          <w:color w:val="auto"/>
          <w:spacing w:val="0"/>
          <w:sz w:val="32"/>
          <w:szCs w:val="32"/>
        </w:rPr>
        <w:tab/>
      </w:r>
      <w:r>
        <w:rPr>
          <w:rFonts w:hint="eastAsia" w:ascii="Times New Roman" w:hAnsi="Times New Roman" w:cs="Times New Roman"/>
          <w:b w:val="0"/>
          <w:bCs w:val="0"/>
          <w:color w:val="auto"/>
          <w:spacing w:val="0"/>
          <w:sz w:val="32"/>
          <w:szCs w:val="32"/>
          <w:lang w:eastAsia="zh-CN"/>
        </w:rPr>
        <w:t>消费者权益保护情况</w:t>
      </w:r>
      <w:r>
        <w:rPr>
          <w:rFonts w:hint="default" w:ascii="Times New Roman" w:hAnsi="Times New Roman" w:cs="Times New Roman"/>
          <w:b w:val="0"/>
          <w:bCs w:val="0"/>
          <w:color w:val="auto"/>
          <w:spacing w:val="0"/>
          <w:sz w:val="32"/>
          <w:szCs w:val="32"/>
        </w:rPr>
        <w:fldChar w:fldCharType="end"/>
      </w:r>
    </w:p>
    <w:p>
      <w:pPr>
        <w:pStyle w:val="7"/>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"_Toc359598608"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w:t>
      </w:r>
      <w:r>
        <w:rPr>
          <w:rFonts w:hint="eastAsia" w:ascii="Times New Roman" w:hAnsi="Times New Roman" w:cs="Times New Roman"/>
          <w:b w:val="0"/>
          <w:bCs w:val="0"/>
          <w:color w:val="auto"/>
          <w:spacing w:val="0"/>
          <w:sz w:val="32"/>
          <w:szCs w:val="32"/>
          <w:lang w:eastAsia="zh-CN"/>
        </w:rPr>
        <w:t>十</w:t>
      </w:r>
      <w:r>
        <w:rPr>
          <w:rFonts w:hint="default" w:ascii="Times New Roman" w:hAnsi="Times New Roman" w:cs="Times New Roman"/>
          <w:b w:val="0"/>
          <w:bCs w:val="0"/>
          <w:color w:val="auto"/>
          <w:spacing w:val="0"/>
          <w:sz w:val="32"/>
          <w:szCs w:val="32"/>
        </w:rPr>
        <w:t>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bCs w:val="0"/>
          <w:color w:val="auto"/>
          <w:spacing w:val="0"/>
          <w:sz w:val="32"/>
          <w:szCs w:val="32"/>
        </w:rPr>
        <w:t>重要事项</w:t>
      </w:r>
      <w:r>
        <w:rPr>
          <w:rFonts w:hint="default" w:ascii="Times New Roman" w:hAnsi="Times New Roman" w:cs="Times New Roman"/>
          <w:b w:val="0"/>
          <w:bCs w:val="0"/>
          <w:color w:val="auto"/>
          <w:spacing w:val="0"/>
          <w:sz w:val="32"/>
          <w:szCs w:val="32"/>
        </w:rPr>
        <w:fldChar w:fldCharType="end"/>
      </w:r>
    </w:p>
    <w:p>
      <w:pPr>
        <w:pStyle w:val="7"/>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"_Toc359598609"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第十</w:t>
      </w:r>
      <w:r>
        <w:rPr>
          <w:rFonts w:hint="eastAsia" w:ascii="Times New Roman" w:hAnsi="Times New Roman" w:cs="Times New Roman"/>
          <w:b w:val="0"/>
          <w:bCs w:val="0"/>
          <w:color w:val="auto"/>
          <w:spacing w:val="0"/>
          <w:sz w:val="32"/>
          <w:szCs w:val="32"/>
          <w:lang w:eastAsia="zh-CN"/>
        </w:rPr>
        <w:t>一</w:t>
      </w:r>
      <w:r>
        <w:rPr>
          <w:rFonts w:hint="default" w:ascii="Times New Roman" w:hAnsi="Times New Roman" w:cs="Times New Roman"/>
          <w:b w:val="0"/>
          <w:bCs w:val="0"/>
          <w:color w:val="auto"/>
          <w:spacing w:val="0"/>
          <w:sz w:val="32"/>
          <w:szCs w:val="32"/>
        </w:rPr>
        <w:t>节</w:t>
      </w:r>
      <w:r>
        <w:rPr>
          <w:rFonts w:hint="default" w:ascii="Times New Roman" w:hAnsi="Times New Roman" w:cs="Times New Roman"/>
          <w:b w:val="0"/>
          <w:color w:val="auto"/>
          <w:sz w:val="32"/>
          <w:szCs w:val="32"/>
        </w:rPr>
        <w:t>财务报告</w:t>
      </w:r>
      <w:r>
        <w:rPr>
          <w:rFonts w:hint="default" w:ascii="Times New Roman" w:hAnsi="Times New Roman" w:cs="Times New Roman"/>
          <w:b w:val="0"/>
          <w:bCs w:val="0"/>
          <w:color w:val="auto"/>
          <w:spacing w:val="0"/>
          <w:sz w:val="32"/>
          <w:szCs w:val="32"/>
        </w:rPr>
        <w:fldChar w:fldCharType="end"/>
      </w:r>
    </w:p>
    <w:p>
      <w:pPr>
        <w:rPr>
          <w:rFonts w:hint="default" w:ascii="Times New Roman" w:hAnsi="Times New Roman" w:cs="Times New Roman"/>
          <w:color w:val="auto"/>
        </w:rPr>
      </w:pPr>
    </w:p>
    <w:p>
      <w:pPr>
        <w:rPr>
          <w:rFonts w:hint="default" w:ascii="Times New Roman" w:hAnsi="Times New Roman" w:cs="Times New Roman"/>
          <w:color w:val="auto"/>
        </w:rPr>
      </w:pP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both"/>
        <w:rPr>
          <w:rFonts w:hint="default" w:ascii="Times New Roman" w:hAnsi="Times New Roman" w:eastAsia="仿宋_GB2312"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
          <w:bCs/>
          <w:color w:val="auto"/>
          <w:kern w:val="0"/>
          <w:sz w:val="32"/>
          <w:szCs w:val="32"/>
        </w:rPr>
      </w:pPr>
      <w:r>
        <w:rPr>
          <w:rFonts w:hint="default" w:ascii="Times New Roman" w:hAnsi="Times New Roman" w:eastAsia="方正小标宋_GBK" w:cs="Times New Roman"/>
          <w:bCs/>
          <w:color w:val="auto"/>
          <w:kern w:val="0"/>
          <w:sz w:val="32"/>
          <w:szCs w:val="32"/>
        </w:rPr>
        <w:t>第一节  公司基本情况简介</w:t>
      </w: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color w:val="auto"/>
          <w:kern w:val="0"/>
          <w:sz w:val="32"/>
          <w:szCs w:val="32"/>
        </w:rPr>
        <w:t>【中文名称】</w:t>
      </w:r>
      <w:r>
        <w:rPr>
          <w:rFonts w:hint="default" w:ascii="Times New Roman" w:hAnsi="Times New Roman" w:eastAsia="方正仿宋_GBK" w:cs="Times New Roman"/>
          <w:color w:val="auto"/>
          <w:kern w:val="0"/>
          <w:sz w:val="32"/>
          <w:szCs w:val="32"/>
          <w:lang w:eastAsia="zh-CN"/>
        </w:rPr>
        <w:t>福建石狮</w:t>
      </w:r>
      <w:r>
        <w:rPr>
          <w:rFonts w:hint="default" w:ascii="Times New Roman" w:hAnsi="Times New Roman" w:eastAsia="方正仿宋_GBK" w:cs="Times New Roman"/>
          <w:color w:val="auto"/>
          <w:kern w:val="0"/>
          <w:sz w:val="32"/>
          <w:szCs w:val="32"/>
        </w:rPr>
        <w:t>渝农商村镇银行有限责任公司</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（简称：</w:t>
      </w:r>
      <w:r>
        <w:rPr>
          <w:rFonts w:hint="default" w:ascii="Times New Roman" w:hAnsi="Times New Roman" w:eastAsia="方正仿宋_GBK" w:cs="Times New Roman"/>
          <w:color w:val="auto"/>
          <w:kern w:val="0"/>
          <w:sz w:val="32"/>
          <w:szCs w:val="32"/>
          <w:lang w:eastAsia="zh-CN"/>
        </w:rPr>
        <w:t>石狮</w:t>
      </w:r>
      <w:r>
        <w:rPr>
          <w:rFonts w:hint="default" w:ascii="Times New Roman" w:hAnsi="Times New Roman" w:eastAsia="方正仿宋_GBK" w:cs="Times New Roman"/>
          <w:color w:val="auto"/>
          <w:kern w:val="0"/>
          <w:sz w:val="32"/>
          <w:szCs w:val="32"/>
        </w:rPr>
        <w:t>渝农商村镇银行）</w:t>
      </w:r>
    </w:p>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bCs/>
          <w:color w:val="auto"/>
          <w:kern w:val="0"/>
          <w:sz w:val="32"/>
          <w:szCs w:val="32"/>
        </w:rPr>
        <w:t>【英文名称】</w:t>
      </w:r>
      <w:r>
        <w:rPr>
          <w:rFonts w:hint="default" w:ascii="Times New Roman" w:hAnsi="Times New Roman" w:eastAsia="方正仿宋_GBK" w:cs="Times New Roman"/>
          <w:color w:val="auto"/>
          <w:sz w:val="32"/>
          <w:szCs w:val="32"/>
          <w:highlight w:val="none"/>
          <w:u w:val="none"/>
        </w:rPr>
        <w:t>FUJIAN SHISHI CQRC County Bank Co.，Ltd.</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（简称：</w:t>
      </w:r>
      <w:r>
        <w:rPr>
          <w:rFonts w:hint="default" w:ascii="Times New Roman" w:hAnsi="Times New Roman" w:eastAsia="方正仿宋_GBK" w:cs="Times New Roman"/>
          <w:color w:val="auto"/>
          <w:sz w:val="32"/>
          <w:szCs w:val="32"/>
          <w:highlight w:val="none"/>
          <w:u w:val="none"/>
        </w:rPr>
        <w:t>SHISHI CQRC County Bank</w:t>
      </w:r>
      <w:r>
        <w:rPr>
          <w:rFonts w:hint="default" w:ascii="Times New Roman" w:hAnsi="Times New Roman" w:eastAsia="方正仿宋_GBK" w:cs="Times New Roman"/>
          <w:color w:val="auto"/>
          <w:kern w:val="0"/>
          <w:sz w:val="32"/>
          <w:szCs w:val="32"/>
        </w:rPr>
        <w:t>）</w:t>
      </w:r>
    </w:p>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b/>
          <w:bCs/>
          <w:color w:val="auto"/>
          <w:kern w:val="0"/>
          <w:sz w:val="32"/>
          <w:szCs w:val="32"/>
        </w:rPr>
        <w:t>【法定代表人】</w:t>
      </w:r>
      <w:r>
        <w:rPr>
          <w:rFonts w:hint="default" w:ascii="Times New Roman" w:hAnsi="Times New Roman" w:eastAsia="方正仿宋_GBK" w:cs="Times New Roman"/>
          <w:color w:val="auto"/>
          <w:kern w:val="0"/>
          <w:sz w:val="32"/>
          <w:szCs w:val="32"/>
          <w:lang w:eastAsia="zh-CN"/>
        </w:rPr>
        <w:t>王瑜</w:t>
      </w:r>
    </w:p>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【其他有关资料】</w:t>
      </w:r>
    </w:p>
    <w:p>
      <w:pPr>
        <w:pStyle w:val="14"/>
        <w:keepNext w:val="0"/>
        <w:keepLines w:val="0"/>
        <w:pageBreakBefore w:val="0"/>
        <w:numPr>
          <w:ilvl w:val="0"/>
          <w:numId w:val="0"/>
        </w:numPr>
        <w:kinsoku/>
        <w:wordWrap/>
        <w:overflowPunct/>
        <w:topLinePunct w:val="0"/>
        <w:autoSpaceDE/>
        <w:autoSpaceDN/>
        <w:bidi w:val="0"/>
        <w:spacing w:line="580" w:lineRule="exact"/>
        <w:ind w:leftChars="200" w:firstLine="320" w:firstLineChars="1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联系地址：</w:t>
      </w:r>
      <w:r>
        <w:rPr>
          <w:rFonts w:hint="default" w:ascii="Times New Roman" w:hAnsi="Times New Roman" w:eastAsia="方正仿宋_GBK" w:cs="Times New Roman"/>
          <w:color w:val="auto"/>
          <w:sz w:val="32"/>
          <w:szCs w:val="32"/>
          <w:highlight w:val="none"/>
          <w:u w:val="none"/>
        </w:rPr>
        <w:t>石狮市八七路鸿兴国际2454号、2456号、2458号</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邮政编码：</w:t>
      </w:r>
      <w:r>
        <w:rPr>
          <w:rFonts w:hint="default" w:ascii="Times New Roman" w:hAnsi="Times New Roman" w:eastAsia="方正仿宋_GBK" w:cs="Times New Roman"/>
          <w:color w:val="auto"/>
          <w:sz w:val="32"/>
          <w:szCs w:val="32"/>
          <w:lang w:val="en-US" w:eastAsia="zh-CN"/>
        </w:rPr>
        <w:t>362700</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电话：</w:t>
      </w:r>
      <w:r>
        <w:rPr>
          <w:rFonts w:hint="default" w:ascii="Times New Roman" w:hAnsi="Times New Roman" w:eastAsia="方正仿宋_GBK" w:cs="Times New Roman"/>
          <w:color w:val="auto"/>
          <w:kern w:val="0"/>
          <w:sz w:val="32"/>
          <w:szCs w:val="32"/>
          <w:lang w:val="en-US" w:eastAsia="zh-CN"/>
        </w:rPr>
        <w:t>0595-82269866</w:t>
      </w:r>
      <w:r>
        <w:rPr>
          <w:rFonts w:hint="default" w:ascii="Times New Roman" w:hAnsi="Times New Roman" w:eastAsia="方正仿宋_GBK" w:cs="Times New Roman"/>
          <w:color w:val="auto"/>
          <w:kern w:val="0"/>
          <w:sz w:val="32"/>
          <w:szCs w:val="32"/>
        </w:rPr>
        <w:t>　　</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传真：</w:t>
      </w:r>
      <w:r>
        <w:rPr>
          <w:rFonts w:hint="default" w:ascii="Times New Roman" w:hAnsi="Times New Roman" w:eastAsia="方正仿宋_GBK" w:cs="Times New Roman"/>
          <w:color w:val="auto"/>
          <w:kern w:val="0"/>
          <w:sz w:val="32"/>
          <w:szCs w:val="32"/>
          <w:lang w:val="en-US" w:eastAsia="zh-CN"/>
        </w:rPr>
        <w:t>0595-82268878</w:t>
      </w:r>
      <w:r>
        <w:rPr>
          <w:rFonts w:hint="default" w:ascii="Times New Roman" w:hAnsi="Times New Roman" w:eastAsia="方正仿宋_GBK" w:cs="Times New Roman"/>
          <w:color w:val="auto"/>
          <w:kern w:val="0"/>
          <w:sz w:val="32"/>
          <w:szCs w:val="32"/>
        </w:rPr>
        <w:t>　</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首次注册登记日期：</w:t>
      </w:r>
      <w:r>
        <w:rPr>
          <w:rFonts w:hint="default" w:ascii="Times New Roman" w:hAnsi="Times New Roman" w:eastAsia="方正仿宋_GBK" w:cs="Times New Roman"/>
          <w:color w:val="auto"/>
          <w:kern w:val="0"/>
          <w:sz w:val="32"/>
          <w:szCs w:val="32"/>
          <w:highlight w:val="none"/>
          <w:lang w:val="en-US" w:eastAsia="zh-CN"/>
        </w:rPr>
        <w:t>2015</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rPr>
        <w:t>月</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日</w:t>
      </w:r>
    </w:p>
    <w:p>
      <w:pPr>
        <w:pStyle w:val="14"/>
        <w:keepNext w:val="0"/>
        <w:keepLines w:val="0"/>
        <w:pageBreakBefore w:val="0"/>
        <w:numPr>
          <w:ilvl w:val="0"/>
          <w:numId w:val="0"/>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首次注册登记地点：</w:t>
      </w:r>
      <w:r>
        <w:rPr>
          <w:rFonts w:hint="default" w:ascii="Times New Roman" w:hAnsi="Times New Roman" w:eastAsia="方正仿宋_GBK" w:cs="Times New Roman"/>
          <w:color w:val="auto"/>
          <w:sz w:val="32"/>
          <w:szCs w:val="32"/>
          <w:highlight w:val="none"/>
          <w:u w:val="none"/>
        </w:rPr>
        <w:t>石狮市八七路鸿兴国际2454号、2456号、2458号</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lang w:val="en-US"/>
        </w:rPr>
      </w:pPr>
      <w:r>
        <w:rPr>
          <w:rFonts w:hint="default" w:ascii="Times New Roman" w:hAnsi="Times New Roman" w:eastAsia="方正仿宋_GBK" w:cs="Times New Roman"/>
          <w:color w:val="auto"/>
          <w:kern w:val="0"/>
          <w:sz w:val="32"/>
          <w:szCs w:val="32"/>
          <w:highlight w:val="none"/>
        </w:rPr>
        <w:t>统一社会信用代码：</w:t>
      </w:r>
      <w:r>
        <w:rPr>
          <w:rFonts w:hint="default" w:ascii="Times New Roman" w:hAnsi="Times New Roman" w:eastAsia="方正仿宋_GBK" w:cs="Times New Roman"/>
          <w:color w:val="auto"/>
          <w:kern w:val="0"/>
          <w:sz w:val="32"/>
          <w:szCs w:val="32"/>
          <w:highlight w:val="none"/>
          <w:lang w:val="en-US" w:eastAsia="zh-CN"/>
        </w:rPr>
        <w:t>91350581MA32TUAK17</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聘请的会计师事务所名称：</w:t>
      </w:r>
      <w:r>
        <w:rPr>
          <w:rFonts w:hint="default" w:ascii="Times New Roman" w:hAnsi="Times New Roman" w:eastAsia="方正仿宋_GBK" w:cs="Times New Roman"/>
          <w:color w:val="auto"/>
          <w:kern w:val="0"/>
          <w:sz w:val="32"/>
          <w:szCs w:val="32"/>
          <w:highlight w:val="none"/>
          <w:lang w:eastAsia="zh-CN"/>
        </w:rPr>
        <w:t>毕马威华振会计师事务所（特殊普通合伙）</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b/>
          <w:color w:val="auto"/>
          <w:kern w:val="0"/>
          <w:sz w:val="32"/>
          <w:szCs w:val="32"/>
        </w:rPr>
      </w:pPr>
      <w:r>
        <w:rPr>
          <w:rFonts w:hint="default" w:ascii="Times New Roman" w:hAnsi="Times New Roman" w:eastAsia="方正仿宋_GBK" w:cs="Times New Roman"/>
          <w:color w:val="auto"/>
          <w:kern w:val="0"/>
          <w:sz w:val="32"/>
          <w:szCs w:val="32"/>
          <w:highlight w:val="none"/>
        </w:rPr>
        <w:t>注册会计师：</w:t>
      </w:r>
      <w:r>
        <w:rPr>
          <w:rFonts w:hint="default" w:ascii="Times New Roman" w:hAnsi="Times New Roman" w:eastAsia="方正仿宋_GBK" w:cs="Times New Roman"/>
          <w:color w:val="auto"/>
          <w:kern w:val="0"/>
          <w:sz w:val="32"/>
          <w:szCs w:val="32"/>
          <w:highlight w:val="none"/>
          <w:lang w:eastAsia="zh-CN"/>
        </w:rPr>
        <w:t>薛晨俊、王威舜</w:t>
      </w:r>
      <w:r>
        <w:rPr>
          <w:rFonts w:hint="default" w:ascii="Times New Roman" w:hAnsi="Times New Roman" w:eastAsia="方正仿宋_GBK" w:cs="Times New Roman"/>
          <w:color w:val="auto"/>
          <w:kern w:val="0"/>
          <w:sz w:val="32"/>
          <w:szCs w:val="32"/>
          <w:highlight w:val="none"/>
        </w:rPr>
        <w:t>　</w:t>
      </w:r>
    </w:p>
    <w:p>
      <w:pPr>
        <w:keepNext w:val="0"/>
        <w:keepLines w:val="0"/>
        <w:pageBreakBefore w:val="0"/>
        <w:widowControl/>
        <w:numPr>
          <w:ilvl w:val="0"/>
          <w:numId w:val="1"/>
        </w:numPr>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rPr>
      </w:pPr>
      <w:r>
        <w:rPr>
          <w:rFonts w:hint="default" w:ascii="Times New Roman" w:hAnsi="Times New Roman" w:eastAsia="方正小标宋_GBK" w:cs="Times New Roman"/>
          <w:bCs/>
          <w:color w:val="auto"/>
          <w:kern w:val="0"/>
          <w:sz w:val="32"/>
          <w:szCs w:val="32"/>
        </w:rPr>
        <w:t> 公司数据和业务数据摘要</w:t>
      </w:r>
    </w:p>
    <w:p>
      <w:pPr>
        <w:keepNext w:val="0"/>
        <w:keepLines w:val="0"/>
        <w:pageBreakBefore w:val="0"/>
        <w:widowControl/>
        <w:kinsoku/>
        <w:wordWrap/>
        <w:overflowPunct/>
        <w:topLinePunct w:val="0"/>
        <w:autoSpaceDE/>
        <w:autoSpaceDN/>
        <w:bidi w:val="0"/>
        <w:spacing w:line="580" w:lineRule="exact"/>
        <w:ind w:firstLine="470" w:firstLineChars="147"/>
        <w:jc w:val="left"/>
        <w:rPr>
          <w:rFonts w:hint="default" w:ascii="Times New Roman" w:hAnsi="Times New Roman" w:eastAsia="方正黑体_GBK" w:cs="Times New Roman"/>
          <w:b/>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一、截止报告期末前两年的主要会计数据</w:t>
      </w:r>
    </w:p>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单位：万元（人民币）</w:t>
      </w:r>
    </w:p>
    <w:tbl>
      <w:tblPr>
        <w:tblStyle w:val="9"/>
        <w:tblW w:w="882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065"/>
        <w:gridCol w:w="2340"/>
        <w:gridCol w:w="24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项        目</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20</w:t>
            </w:r>
            <w:r>
              <w:rPr>
                <w:rFonts w:hint="default" w:ascii="Times New Roman" w:hAnsi="Times New Roman" w:eastAsia="方正仿宋_GBK" w:cs="Times New Roman"/>
                <w:b/>
                <w:color w:val="auto"/>
                <w:kern w:val="0"/>
                <w:sz w:val="28"/>
                <w:szCs w:val="28"/>
                <w:highlight w:val="none"/>
                <w:lang w:eastAsia="zh-CN"/>
              </w:rPr>
              <w:t>2</w:t>
            </w:r>
            <w:r>
              <w:rPr>
                <w:rFonts w:hint="default" w:ascii="Times New Roman" w:hAnsi="Times New Roman" w:eastAsia="方正仿宋_GBK" w:cs="Times New Roman"/>
                <w:b/>
                <w:color w:val="auto"/>
                <w:kern w:val="0"/>
                <w:sz w:val="28"/>
                <w:szCs w:val="28"/>
                <w:highlight w:val="none"/>
                <w:lang w:val="en-US" w:eastAsia="zh-CN"/>
              </w:rPr>
              <w:t>2</w:t>
            </w:r>
            <w:r>
              <w:rPr>
                <w:rFonts w:hint="default" w:ascii="Times New Roman" w:hAnsi="Times New Roman" w:eastAsia="方正仿宋_GBK" w:cs="Times New Roman"/>
                <w:b/>
                <w:color w:val="auto"/>
                <w:kern w:val="0"/>
                <w:sz w:val="28"/>
                <w:szCs w:val="28"/>
                <w:highlight w:val="none"/>
              </w:rPr>
              <w:t>年度</w:t>
            </w:r>
          </w:p>
        </w:tc>
        <w:tc>
          <w:tcPr>
            <w:tcW w:w="24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20</w:t>
            </w:r>
            <w:r>
              <w:rPr>
                <w:rFonts w:hint="default" w:ascii="Times New Roman" w:hAnsi="Times New Roman" w:eastAsia="方正仿宋_GBK" w:cs="Times New Roman"/>
                <w:b/>
                <w:color w:val="auto"/>
                <w:kern w:val="0"/>
                <w:sz w:val="28"/>
                <w:szCs w:val="28"/>
                <w:highlight w:val="none"/>
                <w:lang w:val="en-US" w:eastAsia="zh-CN"/>
              </w:rPr>
              <w:t>2</w:t>
            </w:r>
            <w:r>
              <w:rPr>
                <w:rFonts w:hint="eastAsia" w:ascii="Times New Roman" w:hAnsi="Times New Roman" w:eastAsia="方正仿宋_GBK" w:cs="Times New Roman"/>
                <w:b/>
                <w:color w:val="auto"/>
                <w:kern w:val="0"/>
                <w:sz w:val="28"/>
                <w:szCs w:val="28"/>
                <w:highlight w:val="none"/>
                <w:lang w:val="en-US" w:eastAsia="zh-CN"/>
              </w:rPr>
              <w:t>3</w:t>
            </w:r>
            <w:r>
              <w:rPr>
                <w:rFonts w:hint="default" w:ascii="Times New Roman" w:hAnsi="Times New Roman" w:eastAsia="方正仿宋_GBK" w:cs="Times New Roman"/>
                <w:b/>
                <w:color w:val="auto"/>
                <w:kern w:val="0"/>
                <w:sz w:val="28"/>
                <w:szCs w:val="28"/>
                <w:highlight w:val="none"/>
              </w:rPr>
              <w:t>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总资产</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ind w:right="480"/>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 xml:space="preserve"> 34691.72</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ind w:right="480" w:rightChars="0"/>
              <w:jc w:val="center"/>
              <w:rPr>
                <w:rFonts w:hint="default" w:ascii="Times New Roman" w:hAnsi="Times New Roman" w:eastAsia="方正仿宋_GBK" w:cs="Times New Roman"/>
                <w:color w:val="auto"/>
                <w:kern w:val="0"/>
                <w:sz w:val="28"/>
                <w:szCs w:val="28"/>
                <w:highlight w:val="none"/>
                <w:lang w:val="en-US"/>
              </w:rPr>
            </w:pPr>
            <w:r>
              <w:rPr>
                <w:rFonts w:hint="eastAsia" w:ascii="Times New Roman" w:hAnsi="Times New Roman" w:eastAsia="方正仿宋_GBK" w:cs="Times New Roman"/>
                <w:color w:val="auto"/>
                <w:kern w:val="0"/>
                <w:sz w:val="28"/>
                <w:szCs w:val="28"/>
                <w:highlight w:val="none"/>
                <w:lang w:val="en-US" w:eastAsia="zh-CN"/>
              </w:rPr>
              <w:t>39630.68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存款余额</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ind w:right="480"/>
              <w:jc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lang w:val="en-US" w:eastAsia="zh-CN"/>
              </w:rPr>
              <w:t>8711.96</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ind w:right="480" w:rightChars="0"/>
              <w:jc w:val="center"/>
              <w:rPr>
                <w:rFonts w:hint="default" w:ascii="Times New Roman" w:hAnsi="Times New Roman" w:eastAsia="方正仿宋_GBK" w:cs="Times New Roman"/>
                <w:color w:val="auto"/>
                <w:kern w:val="0"/>
                <w:sz w:val="28"/>
                <w:szCs w:val="28"/>
                <w:highlight w:val="none"/>
                <w:lang w:val="en-US"/>
              </w:rPr>
            </w:pPr>
            <w:r>
              <w:rPr>
                <w:rFonts w:hint="eastAsia" w:ascii="Times New Roman" w:hAnsi="Times New Roman" w:eastAsia="方正仿宋_GBK" w:cs="Times New Roman"/>
                <w:color w:val="auto"/>
                <w:kern w:val="0"/>
                <w:sz w:val="28"/>
                <w:szCs w:val="28"/>
                <w:highlight w:val="none"/>
                <w:lang w:val="en-US" w:eastAsia="zh-CN"/>
              </w:rPr>
              <w:t>13682.16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贷款余额</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ind w:right="480"/>
              <w:jc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lang w:val="en-US" w:eastAsia="zh-CN"/>
              </w:rPr>
              <w:t xml:space="preserve"> 30927.66</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suppressLineNumbers w:val="0"/>
              <w:kinsoku/>
              <w:wordWrap/>
              <w:overflowPunct/>
              <w:topLinePunct w:val="0"/>
              <w:autoSpaceDE/>
              <w:autoSpaceDN/>
              <w:bidi w:val="0"/>
              <w:spacing w:line="580" w:lineRule="exact"/>
              <w:jc w:val="center"/>
              <w:textAlignment w:val="top"/>
              <w:rPr>
                <w:rFonts w:hint="default" w:ascii="Times New Roman" w:hAnsi="Times New Roman" w:eastAsia="方正仿宋_GBK" w:cs="Times New Roman"/>
                <w:color w:val="auto"/>
                <w:kern w:val="0"/>
                <w:sz w:val="28"/>
                <w:szCs w:val="28"/>
                <w:highlight w:val="none"/>
                <w:lang w:val="en-US"/>
              </w:rPr>
            </w:pPr>
            <w:r>
              <w:rPr>
                <w:rFonts w:hint="eastAsia" w:ascii="Times New Roman" w:hAnsi="Times New Roman" w:eastAsia="方正仿宋_GBK" w:cs="Times New Roman"/>
                <w:color w:val="auto"/>
                <w:kern w:val="0"/>
                <w:sz w:val="28"/>
                <w:szCs w:val="28"/>
                <w:highlight w:val="none"/>
                <w:lang w:val="en-US" w:eastAsia="zh-CN"/>
              </w:rPr>
              <w:t>32842.18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每股净资产（元/股）</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ind w:right="480"/>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1</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ind w:right="480" w:rightChars="0"/>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1</w:t>
            </w:r>
          </w:p>
        </w:tc>
      </w:tr>
    </w:tbl>
    <w:p>
      <w:pPr>
        <w:widowControl/>
        <w:spacing w:line="360" w:lineRule="auto"/>
        <w:ind w:firstLine="640" w:firstLineChars="200"/>
        <w:jc w:val="left"/>
        <w:rPr>
          <w:rFonts w:ascii="Times New Roman" w:hAnsi="Times New Roman" w:eastAsia="方正黑体_GBK" w:cs="Times New Roman"/>
          <w:bCs/>
          <w:kern w:val="0"/>
          <w:sz w:val="32"/>
          <w:szCs w:val="32"/>
        </w:rPr>
      </w:pPr>
      <w:bookmarkStart w:id="0" w:name="股权结构"/>
      <w:r>
        <w:rPr>
          <w:rFonts w:ascii="Times New Roman" w:hAnsi="Times New Roman" w:eastAsia="方正黑体_GBK" w:cs="Times New Roman"/>
          <w:bCs/>
          <w:kern w:val="0"/>
          <w:sz w:val="32"/>
          <w:szCs w:val="32"/>
        </w:rPr>
        <w:t>二、截止报告期末前两年的补充财务指标</w:t>
      </w:r>
    </w:p>
    <w:p>
      <w:pPr>
        <w:widowControl/>
        <w:spacing w:line="360" w:lineRule="auto"/>
        <w:jc w:val="right"/>
        <w:rPr>
          <w:rFonts w:ascii="Times New Roman" w:hAnsi="Times New Roman" w:eastAsia="方正仿宋_GBK" w:cs="Times New Roman"/>
          <w:kern w:val="0"/>
          <w:szCs w:val="21"/>
        </w:rPr>
      </w:pPr>
      <w:r>
        <w:rPr>
          <w:rFonts w:ascii="Times New Roman" w:hAnsi="Times New Roman" w:eastAsia="方正仿宋_GBK" w:cs="Times New Roman"/>
          <w:kern w:val="0"/>
          <w:szCs w:val="21"/>
        </w:rPr>
        <w:t>单位：%</w:t>
      </w:r>
    </w:p>
    <w:tbl>
      <w:tblPr>
        <w:tblStyle w:val="9"/>
        <w:tblW w:w="864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28"/>
        <w:gridCol w:w="1260"/>
        <w:gridCol w:w="1980"/>
        <w:gridCol w:w="1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主要指标</w:t>
            </w:r>
          </w:p>
        </w:tc>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标准值</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202</w:t>
            </w:r>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年度</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2022年度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资本充足率</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≥10.5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74.06</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82.97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存贷款比例(本外币)</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≤75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250.35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370.24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不良贷款比率</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42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0.11</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0.38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单一最大客户授信集中度</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≤10</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0.47</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0.58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vAlign w:val="center"/>
          </w:tcPr>
          <w:p>
            <w:pPr>
              <w:widowControl/>
              <w:rPr>
                <w:rFonts w:ascii="Times New Roman" w:hAnsi="Times New Roman" w:eastAsia="方正仿宋_GBK" w:cs="Times New Roman"/>
                <w:kern w:val="0"/>
                <w:sz w:val="28"/>
                <w:szCs w:val="28"/>
              </w:rPr>
            </w:pPr>
            <w:r>
              <w:rPr>
                <w:rFonts w:ascii="Times New Roman" w:hAnsi="Times New Roman" w:eastAsia="方正仿宋_GBK" w:cs="Times New Roman"/>
                <w:kern w:val="0"/>
                <w:sz w:val="24"/>
              </w:rPr>
              <w:t>最大单一集团客户授信集中度</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0.47</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0.58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流动性比例（人民币）</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28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101.51</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67.96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拨贷比</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14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≥2.5</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2.87</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杠杆率</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ind w:right="42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49.97</w:t>
            </w:r>
          </w:p>
        </w:tc>
        <w:tc>
          <w:tcPr>
            <w:tcW w:w="1980"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59.28</w:t>
            </w:r>
          </w:p>
        </w:tc>
      </w:tr>
    </w:tbl>
    <w:p>
      <w:pPr>
        <w:widowControl/>
        <w:spacing w:line="360" w:lineRule="auto"/>
        <w:ind w:firstLine="627" w:firstLineChars="196"/>
        <w:jc w:val="left"/>
        <w:rPr>
          <w:rFonts w:ascii="Times New Roman" w:hAnsi="Times New Roman" w:eastAsia="方正黑体_GBK" w:cs="Times New Roman"/>
          <w:bCs/>
          <w:kern w:val="0"/>
          <w:sz w:val="32"/>
          <w:szCs w:val="32"/>
        </w:rPr>
      </w:pPr>
    </w:p>
    <w:p>
      <w:pPr>
        <w:widowControl/>
        <w:spacing w:line="360" w:lineRule="auto"/>
        <w:ind w:firstLine="627" w:firstLineChars="196"/>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三、资产减值准备金情况</w:t>
      </w:r>
    </w:p>
    <w:p>
      <w:pPr>
        <w:widowControl/>
        <w:spacing w:line="360" w:lineRule="auto"/>
        <w:jc w:val="right"/>
        <w:rPr>
          <w:rFonts w:ascii="Times New Roman" w:hAnsi="Times New Roman" w:eastAsia="方正仿宋_GBK" w:cs="Times New Roman"/>
          <w:kern w:val="0"/>
          <w:szCs w:val="21"/>
        </w:rPr>
      </w:pPr>
      <w:r>
        <w:rPr>
          <w:rFonts w:ascii="Times New Roman" w:hAnsi="Times New Roman" w:eastAsia="方正仿宋_GBK" w:cs="Times New Roman"/>
          <w:kern w:val="0"/>
          <w:szCs w:val="21"/>
        </w:rPr>
        <w:t>单位：万元（人民币）</w:t>
      </w:r>
    </w:p>
    <w:tbl>
      <w:tblPr>
        <w:tblStyle w:val="9"/>
        <w:tblW w:w="879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90"/>
        <w:gridCol w:w="25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项     目</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金     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期初余额</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868.58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报告期计提</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75.48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本期收回以前年度核销</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36.20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报告期核销</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6290" w:type="dxa"/>
            <w:tcBorders>
              <w:top w:val="outset" w:color="auto" w:sz="6" w:space="0"/>
              <w:left w:val="outset" w:color="auto" w:sz="6" w:space="0"/>
              <w:bottom w:val="outset" w:color="auto" w:sz="6" w:space="0"/>
              <w:right w:val="outset" w:color="auto" w:sz="6" w:space="0"/>
            </w:tcBorders>
          </w:tcPr>
          <w:p>
            <w:pPr>
              <w:widowControl/>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期末余额</w:t>
            </w:r>
          </w:p>
        </w:tc>
        <w:tc>
          <w:tcPr>
            <w:tcW w:w="2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980.26</w:t>
            </w:r>
          </w:p>
        </w:tc>
      </w:tr>
    </w:tbl>
    <w:p>
      <w:pPr>
        <w:widowControl/>
        <w:spacing w:line="360" w:lineRule="auto"/>
        <w:ind w:firstLine="643" w:firstLineChars="200"/>
        <w:jc w:val="left"/>
        <w:rPr>
          <w:rFonts w:ascii="Times New Roman" w:hAnsi="Times New Roman" w:eastAsia="方正仿宋_GBK" w:cs="Times New Roman"/>
          <w:b/>
          <w:kern w:val="0"/>
          <w:sz w:val="32"/>
          <w:szCs w:val="32"/>
        </w:rPr>
      </w:pPr>
    </w:p>
    <w:p>
      <w:pPr>
        <w:widowControl/>
        <w:spacing w:line="360" w:lineRule="auto"/>
        <w:ind w:firstLine="627" w:firstLineChars="196"/>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四、资本的构成情况</w:t>
      </w:r>
    </w:p>
    <w:p>
      <w:pPr>
        <w:widowControl/>
        <w:spacing w:line="360" w:lineRule="auto"/>
        <w:jc w:val="right"/>
        <w:rPr>
          <w:rFonts w:ascii="Times New Roman" w:hAnsi="Times New Roman" w:eastAsia="方正仿宋_GBK" w:cs="Times New Roman"/>
          <w:kern w:val="0"/>
          <w:szCs w:val="21"/>
        </w:rPr>
      </w:pPr>
      <w:r>
        <w:rPr>
          <w:rFonts w:ascii="Times New Roman" w:hAnsi="Times New Roman" w:eastAsia="方正仿宋_GBK" w:cs="Times New Roman"/>
          <w:kern w:val="0"/>
          <w:szCs w:val="21"/>
        </w:rPr>
        <w:t>单位：万元（人民币）</w:t>
      </w:r>
    </w:p>
    <w:tbl>
      <w:tblPr>
        <w:tblStyle w:val="9"/>
        <w:tblW w:w="888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53"/>
        <w:gridCol w:w="33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项     目</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202</w:t>
            </w:r>
            <w:r>
              <w:rPr>
                <w:rFonts w:hint="eastAsia" w:ascii="Times New Roman" w:hAnsi="Times New Roman" w:eastAsia="方正仿宋_GBK" w:cs="Times New Roman"/>
                <w:b/>
                <w:bCs/>
                <w:kern w:val="0"/>
                <w:sz w:val="28"/>
                <w:szCs w:val="28"/>
              </w:rPr>
              <w:t>3</w:t>
            </w:r>
            <w:r>
              <w:rPr>
                <w:rFonts w:ascii="Times New Roman" w:hAnsi="Times New Roman" w:eastAsia="方正仿宋_GBK" w:cs="Times New Roman"/>
                <w:b/>
                <w:bCs/>
                <w:kern w:val="0"/>
                <w:sz w:val="28"/>
                <w:szCs w:val="28"/>
              </w:rPr>
              <w:t>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核心一级资本净额</w:t>
            </w:r>
          </w:p>
        </w:tc>
        <w:tc>
          <w:tcPr>
            <w:tcW w:w="3327" w:type="dxa"/>
            <w:tcBorders>
              <w:top w:val="outset" w:color="auto" w:sz="6" w:space="0"/>
              <w:left w:val="outset" w:color="auto" w:sz="6" w:space="0"/>
              <w:bottom w:val="outset" w:color="auto" w:sz="6" w:space="0"/>
              <w:right w:val="outset" w:color="auto" w:sz="6" w:space="0"/>
            </w:tcBorders>
            <w:vAlign w:val="bottom"/>
          </w:tcPr>
          <w:p>
            <w:pPr>
              <w:widowControl/>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20576.28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一级资本净额</w:t>
            </w:r>
          </w:p>
        </w:tc>
        <w:tc>
          <w:tcPr>
            <w:tcW w:w="3327" w:type="dxa"/>
            <w:tcBorders>
              <w:top w:val="outset" w:color="auto" w:sz="6" w:space="0"/>
              <w:left w:val="outset" w:color="auto" w:sz="6" w:space="0"/>
              <w:bottom w:val="outset" w:color="auto" w:sz="6" w:space="0"/>
              <w:right w:val="outset" w:color="auto" w:sz="6" w:space="0"/>
            </w:tcBorders>
            <w:vAlign w:val="bottom"/>
          </w:tcPr>
          <w:p>
            <w:pPr>
              <w:widowControl/>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20576.28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资本净额</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20895.42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应用资本底线后的风险加权资产合计</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28215.00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核心一级资本充足率%</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72.93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一级资本充足率%</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72.93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1" w:hRule="atLeast"/>
        </w:trPr>
        <w:tc>
          <w:tcPr>
            <w:tcW w:w="5553" w:type="dxa"/>
            <w:tcBorders>
              <w:top w:val="outset" w:color="auto" w:sz="6" w:space="0"/>
              <w:left w:val="outset" w:color="auto" w:sz="6" w:space="0"/>
              <w:bottom w:val="outset" w:color="auto" w:sz="6" w:space="0"/>
              <w:right w:val="outset" w:color="auto" w:sz="6" w:space="0"/>
            </w:tcBorders>
          </w:tcPr>
          <w:p>
            <w:pPr>
              <w:widowControl/>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资本充足率%</w:t>
            </w:r>
          </w:p>
        </w:tc>
        <w:tc>
          <w:tcPr>
            <w:tcW w:w="33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74.06</w:t>
            </w:r>
          </w:p>
        </w:tc>
      </w:tr>
    </w:tbl>
    <w:p>
      <w:pPr>
        <w:widowControl/>
        <w:spacing w:line="360" w:lineRule="auto"/>
        <w:rPr>
          <w:rFonts w:ascii="Times New Roman" w:hAnsi="Times New Roman" w:eastAsia="方正小标宋_GBK" w:cs="Times New Roman"/>
          <w:bCs/>
          <w:kern w:val="0"/>
          <w:sz w:val="32"/>
          <w:szCs w:val="32"/>
        </w:rPr>
      </w:pP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32"/>
          <w:szCs w:val="32"/>
        </w:rPr>
      </w:pPr>
      <w:r>
        <w:rPr>
          <w:rFonts w:hint="default" w:ascii="Times New Roman" w:hAnsi="Times New Roman" w:eastAsia="方正小标宋_GBK" w:cs="Times New Roman"/>
          <w:bCs/>
          <w:color w:val="auto"/>
          <w:kern w:val="0"/>
          <w:sz w:val="32"/>
          <w:szCs w:val="32"/>
        </w:rPr>
        <w:t>第三节  股本变动和股东情况</w:t>
      </w:r>
    </w:p>
    <w:p>
      <w:pPr>
        <w:keepNext w:val="0"/>
        <w:keepLines w:val="0"/>
        <w:pageBreakBefore w:val="0"/>
        <w:widowControl/>
        <w:kinsoku/>
        <w:wordWrap/>
        <w:overflowPunct/>
        <w:topLinePunct w:val="0"/>
        <w:autoSpaceDE/>
        <w:autoSpaceDN/>
        <w:bidi w:val="0"/>
        <w:spacing w:line="580" w:lineRule="exact"/>
        <w:ind w:firstLine="627" w:firstLineChars="196"/>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一、股本变化情况</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截至20</w:t>
      </w:r>
      <w:r>
        <w:rPr>
          <w:rFonts w:hint="default"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年12月31日，本行注册资本为人民币</w:t>
      </w:r>
      <w:r>
        <w:rPr>
          <w:rFonts w:hint="default" w:ascii="Times New Roman" w:hAnsi="Times New Roman" w:eastAsia="方正仿宋_GBK" w:cs="Times New Roman"/>
          <w:color w:val="auto"/>
          <w:kern w:val="0"/>
          <w:sz w:val="32"/>
          <w:szCs w:val="32"/>
          <w:lang w:val="en-US" w:eastAsia="zh-CN"/>
        </w:rPr>
        <w:t>贰</w:t>
      </w:r>
      <w:r>
        <w:rPr>
          <w:rFonts w:hint="default" w:ascii="Times New Roman" w:hAnsi="Times New Roman" w:eastAsia="方正仿宋_GBK" w:cs="Times New Roman"/>
          <w:color w:val="auto"/>
          <w:kern w:val="0"/>
          <w:sz w:val="32"/>
          <w:szCs w:val="32"/>
        </w:rPr>
        <w:t>亿元整，实收资本为人民币</w:t>
      </w:r>
      <w:r>
        <w:rPr>
          <w:rFonts w:hint="default" w:ascii="Times New Roman" w:hAnsi="Times New Roman" w:eastAsia="方正仿宋_GBK" w:cs="Times New Roman"/>
          <w:color w:val="auto"/>
          <w:kern w:val="0"/>
          <w:sz w:val="32"/>
          <w:szCs w:val="32"/>
          <w:lang w:eastAsia="zh-CN"/>
        </w:rPr>
        <w:t>贰</w:t>
      </w:r>
      <w:r>
        <w:rPr>
          <w:rFonts w:hint="default" w:ascii="Times New Roman" w:hAnsi="Times New Roman" w:eastAsia="方正仿宋_GBK" w:cs="Times New Roman"/>
          <w:color w:val="auto"/>
          <w:kern w:val="0"/>
          <w:sz w:val="32"/>
          <w:szCs w:val="32"/>
        </w:rPr>
        <w:t>亿元整。</w:t>
      </w:r>
    </w:p>
    <w:p>
      <w:pPr>
        <w:keepNext w:val="0"/>
        <w:keepLines w:val="0"/>
        <w:pageBreakBefore w:val="0"/>
        <w:widowControl/>
        <w:kinsoku/>
        <w:wordWrap/>
        <w:overflowPunct/>
        <w:topLinePunct w:val="0"/>
        <w:autoSpaceDE/>
        <w:autoSpaceDN/>
        <w:bidi w:val="0"/>
        <w:spacing w:line="580" w:lineRule="exact"/>
        <w:ind w:firstLine="627" w:firstLineChars="196"/>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二、股权结构</w:t>
      </w:r>
      <w:bookmarkEnd w:id="0"/>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股权结构情况表一</w:t>
      </w:r>
    </w:p>
    <w:tbl>
      <w:tblPr>
        <w:tblStyle w:val="9"/>
        <w:tblW w:w="8657" w:type="dxa"/>
        <w:tblInd w:w="-36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86"/>
        <w:gridCol w:w="1243"/>
        <w:gridCol w:w="1400"/>
        <w:gridCol w:w="1136"/>
        <w:gridCol w:w="1200"/>
        <w:gridCol w:w="19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743" w:hRule="atLeast"/>
        </w:trPr>
        <w:tc>
          <w:tcPr>
            <w:tcW w:w="168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股东名称</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注册地</w:t>
            </w:r>
          </w:p>
        </w:tc>
        <w:tc>
          <w:tcPr>
            <w:tcW w:w="14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股东性质</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持股</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（万股）</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持股比例</w:t>
            </w:r>
          </w:p>
        </w:tc>
        <w:tc>
          <w:tcPr>
            <w:tcW w:w="1992"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派驻董事、监事（姓名/职务）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77" w:hRule="atLeast"/>
        </w:trPr>
        <w:tc>
          <w:tcPr>
            <w:tcW w:w="1686"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重庆农村商业银行股份有限公司</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重庆</w:t>
            </w:r>
          </w:p>
        </w:tc>
        <w:tc>
          <w:tcPr>
            <w:tcW w:w="1400"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国有企业</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10200</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lang w:val="en-US" w:eastAsia="zh-CN"/>
              </w:rPr>
              <w:t>9</w:t>
            </w:r>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w:t>
            </w:r>
          </w:p>
        </w:tc>
        <w:tc>
          <w:tcPr>
            <w:tcW w:w="1992"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王瑜</w:t>
            </w:r>
            <w:r>
              <w:rPr>
                <w:rFonts w:hint="default" w:ascii="Times New Roman" w:hAnsi="Times New Roman" w:eastAsia="方正仿宋_GBK" w:cs="Times New Roman"/>
                <w:color w:val="auto"/>
                <w:kern w:val="0"/>
                <w:sz w:val="24"/>
                <w:szCs w:val="24"/>
              </w:rPr>
              <w:t>/执行董事兼行长</w:t>
            </w:r>
          </w:p>
          <w:p>
            <w:pPr>
              <w:pStyle w:val="8"/>
              <w:rPr>
                <w:rFonts w:hint="default"/>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26" w:hRule="atLeast"/>
        </w:trPr>
        <w:tc>
          <w:tcPr>
            <w:tcW w:w="1686" w:type="dxa"/>
            <w:vAlign w:val="center"/>
          </w:tcPr>
          <w:p>
            <w:pPr>
              <w:keepNext w:val="0"/>
              <w:keepLines w:val="0"/>
              <w:pageBreakBefore w:val="0"/>
              <w:widowControl/>
              <w:kinsoku/>
              <w:wordWrap/>
              <w:overflowPunct/>
              <w:topLinePunct w:val="0"/>
              <w:autoSpaceDE/>
              <w:autoSpaceDN/>
              <w:bidi w:val="0"/>
              <w:adjustRightInd/>
              <w:snapToGrid/>
              <w:spacing w:line="500" w:lineRule="exact"/>
              <w:contextualSpacing/>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石狮市国有投资发展有限公司</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石狮</w:t>
            </w:r>
          </w:p>
        </w:tc>
        <w:tc>
          <w:tcPr>
            <w:tcW w:w="1400"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国有企业</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1800</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9%</w:t>
            </w:r>
          </w:p>
        </w:tc>
        <w:tc>
          <w:tcPr>
            <w:tcW w:w="1992"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none"/>
                <w:u w:val="none"/>
              </w:rPr>
            </w:pPr>
            <w:r>
              <w:rPr>
                <w:rFonts w:hint="eastAsia" w:ascii="Times New Roman" w:hAnsi="Times New Roman" w:eastAsia="方正仿宋_GBK" w:cs="Times New Roman"/>
                <w:color w:val="auto"/>
                <w:kern w:val="0"/>
                <w:sz w:val="24"/>
                <w:szCs w:val="24"/>
                <w:highlight w:val="none"/>
                <w:u w:val="none"/>
                <w:lang w:val="en-US" w:eastAsia="zh-CN"/>
              </w:rPr>
              <w:t>林志勇/股东</w:t>
            </w:r>
            <w:r>
              <w:rPr>
                <w:rFonts w:hint="default" w:ascii="Times New Roman" w:hAnsi="Times New Roman" w:eastAsia="方正仿宋_GBK" w:cs="Times New Roman"/>
                <w:color w:val="auto"/>
                <w:kern w:val="0"/>
                <w:sz w:val="24"/>
                <w:szCs w:val="24"/>
                <w:highlight w:val="none"/>
                <w:u w:val="none"/>
              </w:rPr>
              <w:t>监事</w:t>
            </w:r>
          </w:p>
          <w:p>
            <w:pPr>
              <w:pStyle w:val="8"/>
              <w:rPr>
                <w:rFonts w:hint="default" w:eastAsia="方正仿宋_GBK"/>
                <w:lang w:val="en-US" w:eastAsia="zh-CN"/>
              </w:rPr>
            </w:pPr>
            <w:r>
              <w:rPr>
                <w:rFonts w:hint="eastAsia" w:ascii="Times New Roman" w:hAnsi="Times New Roman" w:eastAsia="方正仿宋_GBK" w:cs="Times New Roman"/>
                <w:b w:val="0"/>
                <w:bCs w:val="0"/>
                <w:color w:val="auto"/>
                <w:kern w:val="0"/>
                <w:sz w:val="24"/>
                <w:szCs w:val="24"/>
                <w:lang w:val="en-US" w:eastAsia="zh-CN" w:bidi="ar-SA"/>
              </w:rPr>
              <w:t>谢芳池/股东监事</w:t>
            </w:r>
          </w:p>
        </w:tc>
      </w:tr>
    </w:tbl>
    <w:tbl>
      <w:tblPr>
        <w:tblStyle w:val="9"/>
        <w:tblpPr w:leftFromText="180" w:rightFromText="180" w:vertAnchor="text" w:horzAnchor="page" w:tblpX="1432" w:tblpY="1047"/>
        <w:tblOverlap w:val="never"/>
        <w:tblW w:w="883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38"/>
        <w:gridCol w:w="1264"/>
        <w:gridCol w:w="1647"/>
        <w:gridCol w:w="1710"/>
        <w:gridCol w:w="24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7" w:hRule="atLeast"/>
        </w:trPr>
        <w:tc>
          <w:tcPr>
            <w:tcW w:w="17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股东性质</w:t>
            </w:r>
          </w:p>
        </w:tc>
        <w:tc>
          <w:tcPr>
            <w:tcW w:w="12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股东</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户数</w:t>
            </w:r>
          </w:p>
        </w:tc>
        <w:tc>
          <w:tcPr>
            <w:tcW w:w="164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持股数</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（万股）</w:t>
            </w:r>
          </w:p>
        </w:tc>
        <w:tc>
          <w:tcPr>
            <w:tcW w:w="1710"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持股</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比例</w:t>
            </w:r>
          </w:p>
        </w:tc>
        <w:tc>
          <w:tcPr>
            <w:tcW w:w="247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当年股权变更情况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4" w:hRule="atLeast"/>
        </w:trPr>
        <w:tc>
          <w:tcPr>
            <w:tcW w:w="17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国有企业</w:t>
            </w:r>
          </w:p>
        </w:tc>
        <w:tc>
          <w:tcPr>
            <w:tcW w:w="12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户</w:t>
            </w:r>
          </w:p>
        </w:tc>
        <w:tc>
          <w:tcPr>
            <w:tcW w:w="164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20</w:t>
            </w:r>
            <w:r>
              <w:rPr>
                <w:rFonts w:hint="default" w:ascii="Times New Roman" w:hAnsi="Times New Roman" w:eastAsia="方正仿宋_GBK" w:cs="Times New Roman"/>
                <w:color w:val="auto"/>
                <w:kern w:val="0"/>
                <w:sz w:val="24"/>
                <w:szCs w:val="24"/>
                <w:lang w:val="en-US" w:eastAsia="zh-CN"/>
              </w:rPr>
              <w:t>000</w:t>
            </w:r>
          </w:p>
        </w:tc>
        <w:tc>
          <w:tcPr>
            <w:tcW w:w="171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lang w:val="en-US" w:eastAsia="zh-CN"/>
              </w:rPr>
              <w:t>100</w:t>
            </w:r>
            <w:r>
              <w:rPr>
                <w:rFonts w:hint="default" w:ascii="Times New Roman" w:hAnsi="Times New Roman" w:eastAsia="方正仿宋_GBK" w:cs="Times New Roman"/>
                <w:color w:val="auto"/>
                <w:kern w:val="0"/>
                <w:sz w:val="24"/>
                <w:szCs w:val="24"/>
              </w:rPr>
              <w:t>%</w:t>
            </w:r>
          </w:p>
        </w:tc>
        <w:tc>
          <w:tcPr>
            <w:tcW w:w="2471"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val="en-US"/>
              </w:rPr>
            </w:pPr>
            <w:r>
              <w:rPr>
                <w:rFonts w:hint="default" w:ascii="Times New Roman" w:hAnsi="Times New Roman" w:eastAsia="方正仿宋_GBK" w:cs="Times New Roman"/>
                <w:color w:val="auto"/>
                <w:kern w:val="0"/>
                <w:sz w:val="24"/>
                <w:szCs w:val="24"/>
                <w:highlight w:val="none"/>
                <w:u w:val="none"/>
              </w:rPr>
              <w:t>爱登堡（福建）运营中心有限公司</w:t>
            </w:r>
            <w:r>
              <w:rPr>
                <w:rFonts w:hint="default" w:ascii="Times New Roman" w:hAnsi="Times New Roman" w:eastAsia="方正仿宋_GBK" w:cs="Times New Roman"/>
                <w:color w:val="auto"/>
                <w:kern w:val="0"/>
                <w:sz w:val="24"/>
                <w:szCs w:val="24"/>
                <w:highlight w:val="none"/>
                <w:u w:val="none"/>
                <w:lang w:val="en-US" w:eastAsia="zh-CN"/>
              </w:rPr>
              <w:t>，持股1000万股，持股比例5%股份转让给福建石狮产业投资发展集团有限责任公司，受让后福建石狮产业投资发展集团有限责任公司持有我行股份占比为5%。变更后，国有企业由3户变为4户，持股数14000万元变为15000万元，持股比例由70%变为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4" w:hRule="atLeast"/>
        </w:trPr>
        <w:tc>
          <w:tcPr>
            <w:tcW w:w="17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私营企业</w:t>
            </w:r>
          </w:p>
        </w:tc>
        <w:tc>
          <w:tcPr>
            <w:tcW w:w="12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rPr>
              <w:t>户</w:t>
            </w:r>
          </w:p>
        </w:tc>
        <w:tc>
          <w:tcPr>
            <w:tcW w:w="164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5000</w:t>
            </w:r>
          </w:p>
        </w:tc>
        <w:tc>
          <w:tcPr>
            <w:tcW w:w="171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30</w:t>
            </w:r>
            <w:r>
              <w:rPr>
                <w:rFonts w:hint="default" w:ascii="Times New Roman" w:hAnsi="Times New Roman" w:eastAsia="方正仿宋_GBK" w:cs="Times New Roman"/>
                <w:color w:val="auto"/>
                <w:kern w:val="0"/>
                <w:sz w:val="24"/>
                <w:szCs w:val="24"/>
              </w:rPr>
              <w:t>%</w:t>
            </w:r>
          </w:p>
        </w:tc>
        <w:tc>
          <w:tcPr>
            <w:tcW w:w="2471"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4" w:hRule="atLeast"/>
        </w:trPr>
        <w:tc>
          <w:tcPr>
            <w:tcW w:w="17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合计</w:t>
            </w:r>
          </w:p>
        </w:tc>
        <w:tc>
          <w:tcPr>
            <w:tcW w:w="12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9</w:t>
            </w:r>
            <w:r>
              <w:rPr>
                <w:rFonts w:hint="default" w:ascii="Times New Roman" w:hAnsi="Times New Roman" w:eastAsia="方正仿宋_GBK" w:cs="Times New Roman"/>
                <w:color w:val="auto"/>
                <w:kern w:val="0"/>
                <w:sz w:val="24"/>
                <w:szCs w:val="24"/>
              </w:rPr>
              <w:t>户</w:t>
            </w:r>
          </w:p>
        </w:tc>
        <w:tc>
          <w:tcPr>
            <w:tcW w:w="164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0000</w:t>
            </w:r>
          </w:p>
        </w:tc>
        <w:tc>
          <w:tcPr>
            <w:tcW w:w="171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100%</w:t>
            </w:r>
          </w:p>
        </w:tc>
        <w:tc>
          <w:tcPr>
            <w:tcW w:w="2471"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p>
        </w:tc>
      </w:tr>
    </w:tbl>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股权结构情况表二</w:t>
      </w:r>
    </w:p>
    <w:p>
      <w:pPr>
        <w:keepNext w:val="0"/>
        <w:keepLines w:val="0"/>
        <w:pageBreakBefore w:val="0"/>
        <w:widowControl/>
        <w:kinsoku/>
        <w:wordWrap/>
        <w:overflowPunct/>
        <w:topLinePunct w:val="0"/>
        <w:autoSpaceDE/>
        <w:autoSpaceDN/>
        <w:bidi w:val="0"/>
        <w:spacing w:line="580" w:lineRule="exact"/>
        <w:ind w:firstLine="627" w:firstLineChars="196"/>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三、股东所持本公司股份的质押或其他争议情况</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小标宋_GBK" w:cs="Times New Roman"/>
          <w:bCs/>
          <w:color w:val="auto"/>
          <w:kern w:val="0"/>
          <w:sz w:val="32"/>
          <w:szCs w:val="32"/>
        </w:rPr>
      </w:pPr>
      <w:r>
        <w:rPr>
          <w:rFonts w:hint="default" w:ascii="Times New Roman" w:hAnsi="Times New Roman" w:eastAsia="方正仿宋_GBK" w:cs="Times New Roman"/>
          <w:color w:val="auto"/>
          <w:kern w:val="0"/>
          <w:sz w:val="32"/>
          <w:szCs w:val="32"/>
        </w:rPr>
        <w:t>报告期内，不存在股东所持本公司股份用于质押或其他争议情况。</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rPr>
      </w:pPr>
      <w:r>
        <w:rPr>
          <w:rFonts w:hint="default" w:ascii="Times New Roman" w:hAnsi="Times New Roman" w:eastAsia="方正小标宋_GBK" w:cs="Times New Roman"/>
          <w:bCs/>
          <w:color w:val="auto"/>
          <w:kern w:val="0"/>
          <w:sz w:val="32"/>
          <w:szCs w:val="32"/>
        </w:rPr>
        <w:t>第四节  董（监）事、高级管理人员和员工情况</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b/>
          <w:color w:val="auto"/>
          <w:kern w:val="0"/>
          <w:sz w:val="32"/>
          <w:szCs w:val="32"/>
        </w:rPr>
      </w:pPr>
      <w:r>
        <w:rPr>
          <w:rFonts w:hint="default" w:ascii="Times New Roman" w:hAnsi="Times New Roman" w:eastAsia="方正黑体_GBK" w:cs="Times New Roman"/>
          <w:bCs/>
          <w:color w:val="auto"/>
          <w:kern w:val="0"/>
          <w:sz w:val="32"/>
          <w:szCs w:val="32"/>
        </w:rPr>
        <w:t>一、执行董事基本情况</w:t>
      </w:r>
      <w:r>
        <w:rPr>
          <w:rFonts w:hint="default" w:ascii="Times New Roman" w:hAnsi="Times New Roman" w:eastAsia="方正仿宋_GBK" w:cs="Times New Roman"/>
          <w:b/>
          <w:color w:val="auto"/>
          <w:kern w:val="0"/>
          <w:sz w:val="32"/>
          <w:szCs w:val="32"/>
        </w:rPr>
        <w:t> </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（一）本行不设董事会，设执行董事1名，是股东会的执行机构和本行的经营决策机构，对股东会负责，由主发起行重庆农村商业银行选派，股东会选举产生。执行董事基本情况如下：</w:t>
      </w:r>
    </w:p>
    <w:tbl>
      <w:tblPr>
        <w:tblStyle w:val="9"/>
        <w:tblW w:w="823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1417"/>
        <w:gridCol w:w="993"/>
        <w:gridCol w:w="1134"/>
        <w:gridCol w:w="1701"/>
        <w:gridCol w:w="16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005" w:hRule="atLeast"/>
          <w:jc w:val="center"/>
        </w:trPr>
        <w:tc>
          <w:tcPr>
            <w:tcW w:w="1380"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姓名</w:t>
            </w:r>
          </w:p>
        </w:tc>
        <w:tc>
          <w:tcPr>
            <w:tcW w:w="1417"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993"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社会</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1134"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学历</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学位</w:t>
            </w:r>
          </w:p>
        </w:tc>
        <w:tc>
          <w:tcPr>
            <w:tcW w:w="1701"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职称</w:t>
            </w:r>
          </w:p>
        </w:tc>
        <w:tc>
          <w:tcPr>
            <w:tcW w:w="1605"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出生时间</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（年/月）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jc w:val="center"/>
        </w:trPr>
        <w:tc>
          <w:tcPr>
            <w:tcW w:w="1380"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王瑜</w:t>
            </w:r>
          </w:p>
        </w:tc>
        <w:tc>
          <w:tcPr>
            <w:tcW w:w="1417"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执行董事</w:t>
            </w:r>
          </w:p>
        </w:tc>
        <w:tc>
          <w:tcPr>
            <w:tcW w:w="993"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无</w:t>
            </w:r>
          </w:p>
        </w:tc>
        <w:tc>
          <w:tcPr>
            <w:tcW w:w="1134"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研究生</w:t>
            </w:r>
          </w:p>
        </w:tc>
        <w:tc>
          <w:tcPr>
            <w:tcW w:w="1701"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仿宋_GB2312" w:cs="Times New Roman"/>
                <w:sz w:val="24"/>
                <w:szCs w:val="24"/>
                <w:highlight w:val="none"/>
              </w:rPr>
              <w:t>软件设计师</w:t>
            </w:r>
          </w:p>
        </w:tc>
        <w:tc>
          <w:tcPr>
            <w:tcW w:w="1605"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19</w:t>
            </w:r>
            <w:r>
              <w:rPr>
                <w:rFonts w:hint="default" w:ascii="Times New Roman" w:hAnsi="Times New Roman" w:eastAsia="方正仿宋_GBK" w:cs="Times New Roman"/>
                <w:color w:val="auto"/>
                <w:kern w:val="0"/>
                <w:sz w:val="24"/>
                <w:szCs w:val="24"/>
                <w:highlight w:val="none"/>
                <w:lang w:val="en-US" w:eastAsia="zh-CN"/>
              </w:rPr>
              <w:t>8</w:t>
            </w:r>
            <w:r>
              <w:rPr>
                <w:rFonts w:hint="default" w:ascii="Times New Roman" w:hAnsi="Times New Roman" w:eastAsia="方正仿宋_GBK" w:cs="Times New Roman"/>
                <w:color w:val="auto"/>
                <w:kern w:val="0"/>
                <w:sz w:val="24"/>
                <w:szCs w:val="24"/>
                <w:highlight w:val="none"/>
              </w:rPr>
              <w:t>3年</w:t>
            </w:r>
            <w:r>
              <w:rPr>
                <w:rFonts w:hint="default" w:ascii="Times New Roman" w:hAnsi="Times New Roman" w:eastAsia="方正仿宋_GBK" w:cs="Times New Roman"/>
                <w:color w:val="auto"/>
                <w:kern w:val="0"/>
                <w:sz w:val="24"/>
                <w:szCs w:val="24"/>
                <w:highlight w:val="none"/>
                <w:lang w:val="en-US" w:eastAsia="zh-CN"/>
              </w:rPr>
              <w:t>12</w:t>
            </w:r>
            <w:r>
              <w:rPr>
                <w:rFonts w:hint="default" w:ascii="Times New Roman" w:hAnsi="Times New Roman" w:eastAsia="方正仿宋_GBK" w:cs="Times New Roman"/>
                <w:color w:val="auto"/>
                <w:kern w:val="0"/>
                <w:sz w:val="24"/>
                <w:szCs w:val="24"/>
                <w:highlight w:val="none"/>
              </w:rPr>
              <w:t>月</w:t>
            </w:r>
          </w:p>
        </w:tc>
      </w:tr>
    </w:tbl>
    <w:p>
      <w:pPr>
        <w:keepNext w:val="0"/>
        <w:keepLines w:val="0"/>
        <w:pageBreakBefore w:val="0"/>
        <w:widowControl/>
        <w:numPr>
          <w:ilvl w:val="0"/>
          <w:numId w:val="0"/>
        </w:numPr>
        <w:kinsoku/>
        <w:wordWrap/>
        <w:overflowPunct/>
        <w:topLinePunct w:val="0"/>
        <w:autoSpaceDE/>
        <w:autoSpaceDN/>
        <w:bidi w:val="0"/>
        <w:spacing w:line="580" w:lineRule="exact"/>
        <w:ind w:firstLine="640" w:firstLineChars="200"/>
        <w:outlineLvl w:val="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（二）</w:t>
      </w:r>
      <w:r>
        <w:rPr>
          <w:rFonts w:hint="default" w:ascii="Times New Roman" w:hAnsi="Times New Roman" w:eastAsia="方正仿宋_GBK" w:cs="Times New Roman"/>
          <w:color w:val="auto"/>
          <w:kern w:val="0"/>
          <w:sz w:val="32"/>
          <w:szCs w:val="32"/>
        </w:rPr>
        <w:t>本年度执行董事变动情况</w:t>
      </w:r>
    </w:p>
    <w:p>
      <w:pPr>
        <w:keepNext w:val="0"/>
        <w:keepLines w:val="0"/>
        <w:pageBreakBefore w:val="0"/>
        <w:widowControl/>
        <w:kinsoku/>
        <w:wordWrap/>
        <w:overflowPunct/>
        <w:topLinePunct w:val="0"/>
        <w:autoSpaceDE/>
        <w:autoSpaceDN/>
        <w:bidi w:val="0"/>
        <w:spacing w:line="580" w:lineRule="exact"/>
        <w:ind w:firstLine="640" w:firstLineChars="200"/>
        <w:outlineLvl w:val="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无变动。</w:t>
      </w:r>
    </w:p>
    <w:p>
      <w:pPr>
        <w:keepNext w:val="0"/>
        <w:keepLines w:val="0"/>
        <w:pageBreakBefore w:val="0"/>
        <w:widowControl/>
        <w:kinsoku/>
        <w:wordWrap/>
        <w:overflowPunct/>
        <w:topLinePunct w:val="0"/>
        <w:autoSpaceDE/>
        <w:autoSpaceDN/>
        <w:bidi w:val="0"/>
        <w:spacing w:line="580" w:lineRule="exact"/>
        <w:ind w:firstLine="640" w:firstLineChars="200"/>
        <w:outlineLvl w:val="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二、监事会基本情况</w:t>
      </w:r>
    </w:p>
    <w:p>
      <w:pPr>
        <w:keepNext w:val="0"/>
        <w:keepLines w:val="0"/>
        <w:pageBreakBefore w:val="0"/>
        <w:widowControl/>
        <w:kinsoku/>
        <w:wordWrap/>
        <w:overflowPunct/>
        <w:topLinePunct w:val="0"/>
        <w:autoSpaceDE/>
        <w:autoSpaceDN/>
        <w:bidi w:val="0"/>
        <w:spacing w:line="580" w:lineRule="exact"/>
        <w:ind w:firstLine="640" w:firstLineChars="200"/>
        <w:outlineLvl w:val="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本行2018年</w:t>
      </w:r>
      <w:r>
        <w:rPr>
          <w:rFonts w:hint="default"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rPr>
        <w:t>月成立监事会，监事会成员共3名，监事长1名，</w:t>
      </w:r>
      <w:r>
        <w:rPr>
          <w:rFonts w:hint="eastAsia" w:ascii="Times New Roman" w:hAnsi="Times New Roman" w:eastAsia="方正仿宋_GBK" w:cs="Times New Roman"/>
          <w:color w:val="auto"/>
          <w:kern w:val="0"/>
          <w:sz w:val="32"/>
          <w:szCs w:val="32"/>
          <w:highlight w:val="none"/>
          <w:lang w:val="en-US" w:eastAsia="zh-CN"/>
        </w:rPr>
        <w:t>由</w:t>
      </w:r>
      <w:r>
        <w:rPr>
          <w:rFonts w:hint="default" w:ascii="Times New Roman" w:hAnsi="Times New Roman" w:eastAsia="方正仿宋_GBK" w:cs="Times New Roman"/>
          <w:color w:val="auto"/>
          <w:kern w:val="0"/>
          <w:sz w:val="32"/>
          <w:szCs w:val="32"/>
          <w:highlight w:val="none"/>
          <w:lang w:eastAsia="zh-CN"/>
        </w:rPr>
        <w:t>职工监事</w:t>
      </w:r>
      <w:r>
        <w:rPr>
          <w:rFonts w:hint="eastAsia" w:ascii="Times New Roman" w:hAnsi="Times New Roman" w:eastAsia="方正仿宋_GBK" w:cs="Times New Roman"/>
          <w:color w:val="auto"/>
          <w:kern w:val="0"/>
          <w:sz w:val="32"/>
          <w:szCs w:val="32"/>
          <w:highlight w:val="none"/>
          <w:lang w:val="en-US" w:eastAsia="zh-CN"/>
        </w:rPr>
        <w:t>张鹏</w:t>
      </w:r>
      <w:r>
        <w:rPr>
          <w:rFonts w:hint="default" w:ascii="Times New Roman" w:hAnsi="Times New Roman" w:eastAsia="方正仿宋_GBK" w:cs="Times New Roman"/>
          <w:color w:val="auto"/>
          <w:kern w:val="0"/>
          <w:sz w:val="32"/>
          <w:szCs w:val="32"/>
          <w:highlight w:val="none"/>
        </w:rPr>
        <w:t>担任，</w:t>
      </w:r>
      <w:r>
        <w:rPr>
          <w:rFonts w:hint="default" w:ascii="Times New Roman" w:hAnsi="Times New Roman" w:eastAsia="方正仿宋_GBK" w:cs="Times New Roman"/>
          <w:color w:val="auto"/>
          <w:kern w:val="0"/>
          <w:sz w:val="32"/>
          <w:szCs w:val="32"/>
          <w:highlight w:val="none"/>
          <w:lang w:eastAsia="zh-CN"/>
        </w:rPr>
        <w:t>股东</w:t>
      </w:r>
      <w:r>
        <w:rPr>
          <w:rFonts w:hint="default" w:ascii="Times New Roman" w:hAnsi="Times New Roman" w:eastAsia="方正仿宋_GBK" w:cs="Times New Roman"/>
          <w:color w:val="auto"/>
          <w:kern w:val="0"/>
          <w:sz w:val="32"/>
          <w:szCs w:val="32"/>
          <w:highlight w:val="none"/>
        </w:rPr>
        <w:t>监事</w:t>
      </w:r>
      <w:r>
        <w:rPr>
          <w:rFonts w:hint="eastAsia"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名，监事会基本情况如下：</w:t>
      </w:r>
    </w:p>
    <w:tbl>
      <w:tblPr>
        <w:tblStyle w:val="9"/>
        <w:tblW w:w="89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57"/>
        <w:gridCol w:w="957"/>
        <w:gridCol w:w="2658"/>
        <w:gridCol w:w="843"/>
        <w:gridCol w:w="976"/>
        <w:gridCol w:w="22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05" w:hRule="atLeast"/>
          <w:jc w:val="center"/>
        </w:trPr>
        <w:tc>
          <w:tcPr>
            <w:tcW w:w="12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姓名</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265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社会职务</w:t>
            </w:r>
          </w:p>
        </w:tc>
        <w:tc>
          <w:tcPr>
            <w:tcW w:w="8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学历</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学位</w:t>
            </w:r>
          </w:p>
        </w:tc>
        <w:tc>
          <w:tcPr>
            <w:tcW w:w="9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职称</w:t>
            </w:r>
          </w:p>
        </w:tc>
        <w:tc>
          <w:tcPr>
            <w:tcW w:w="228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出生时间</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（年/月）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6" w:hRule="atLeast"/>
          <w:jc w:val="center"/>
        </w:trPr>
        <w:tc>
          <w:tcPr>
            <w:tcW w:w="12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张鹏</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监事长</w:t>
            </w:r>
          </w:p>
        </w:tc>
        <w:tc>
          <w:tcPr>
            <w:tcW w:w="265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本行员工</w:t>
            </w:r>
          </w:p>
        </w:tc>
        <w:tc>
          <w:tcPr>
            <w:tcW w:w="8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本科</w:t>
            </w:r>
          </w:p>
        </w:tc>
        <w:tc>
          <w:tcPr>
            <w:tcW w:w="9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p>
        </w:tc>
        <w:tc>
          <w:tcPr>
            <w:tcW w:w="228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1987年12月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6" w:hRule="atLeast"/>
          <w:jc w:val="center"/>
        </w:trPr>
        <w:tc>
          <w:tcPr>
            <w:tcW w:w="12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林志勇</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股东</w:t>
            </w:r>
            <w:r>
              <w:rPr>
                <w:rFonts w:hint="default" w:ascii="Times New Roman" w:hAnsi="Times New Roman" w:eastAsia="方正仿宋_GBK" w:cs="Times New Roman"/>
                <w:color w:val="auto"/>
                <w:kern w:val="0"/>
                <w:sz w:val="24"/>
                <w:szCs w:val="24"/>
                <w:highlight w:val="none"/>
              </w:rPr>
              <w:t>监事</w:t>
            </w:r>
          </w:p>
        </w:tc>
        <w:tc>
          <w:tcPr>
            <w:tcW w:w="265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石狮市国有投资发展有限公司</w:t>
            </w:r>
          </w:p>
        </w:tc>
        <w:tc>
          <w:tcPr>
            <w:tcW w:w="8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本科</w:t>
            </w:r>
          </w:p>
        </w:tc>
        <w:tc>
          <w:tcPr>
            <w:tcW w:w="9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无</w:t>
            </w:r>
          </w:p>
        </w:tc>
        <w:tc>
          <w:tcPr>
            <w:tcW w:w="228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sz w:val="24"/>
                <w:szCs w:val="24"/>
                <w:highlight w:val="none"/>
              </w:rPr>
              <w:t>19</w:t>
            </w:r>
            <w:r>
              <w:rPr>
                <w:rFonts w:hint="default" w:ascii="Times New Roman" w:hAnsi="Times New Roman" w:eastAsia="方正仿宋_GBK" w:cs="Times New Roman"/>
                <w:sz w:val="24"/>
                <w:szCs w:val="24"/>
                <w:highlight w:val="none"/>
                <w:lang w:val="en-US" w:eastAsia="zh-CN"/>
              </w:rPr>
              <w:t>79</w:t>
            </w:r>
            <w:r>
              <w:rPr>
                <w:rFonts w:hint="default" w:ascii="Times New Roman" w:hAnsi="Times New Roman" w:eastAsia="方正仿宋_GBK" w:cs="Times New Roman"/>
                <w:sz w:val="24"/>
                <w:szCs w:val="24"/>
                <w:highlight w:val="none"/>
              </w:rPr>
              <w:t>年1</w:t>
            </w: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6" w:hRule="atLeast"/>
          <w:jc w:val="center"/>
        </w:trPr>
        <w:tc>
          <w:tcPr>
            <w:tcW w:w="12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谢芳池</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股东</w:t>
            </w:r>
            <w:r>
              <w:rPr>
                <w:rFonts w:hint="default" w:ascii="Times New Roman" w:hAnsi="Times New Roman" w:eastAsia="方正仿宋_GBK" w:cs="Times New Roman"/>
                <w:color w:val="auto"/>
                <w:kern w:val="0"/>
                <w:sz w:val="24"/>
                <w:szCs w:val="24"/>
                <w:highlight w:val="none"/>
              </w:rPr>
              <w:t>监事</w:t>
            </w:r>
          </w:p>
        </w:tc>
        <w:tc>
          <w:tcPr>
            <w:tcW w:w="265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石狮市国有投资发展有限公司</w:t>
            </w:r>
          </w:p>
        </w:tc>
        <w:tc>
          <w:tcPr>
            <w:tcW w:w="8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本科</w:t>
            </w:r>
          </w:p>
        </w:tc>
        <w:tc>
          <w:tcPr>
            <w:tcW w:w="9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sz w:val="24"/>
                <w:szCs w:val="24"/>
                <w:highlight w:val="none"/>
              </w:rPr>
              <w:t>中级经济师</w:t>
            </w:r>
          </w:p>
        </w:tc>
        <w:tc>
          <w:tcPr>
            <w:tcW w:w="228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sz w:val="24"/>
                <w:szCs w:val="24"/>
                <w:highlight w:val="none"/>
              </w:rPr>
              <w:t>19</w:t>
            </w:r>
            <w:r>
              <w:rPr>
                <w:rFonts w:hint="default" w:ascii="Times New Roman" w:hAnsi="Times New Roman" w:eastAsia="方正仿宋_GBK" w:cs="Times New Roman"/>
                <w:sz w:val="24"/>
                <w:szCs w:val="24"/>
                <w:highlight w:val="none"/>
                <w:lang w:val="en-US" w:eastAsia="zh-CN"/>
              </w:rPr>
              <w:t>84</w:t>
            </w:r>
            <w:r>
              <w:rPr>
                <w:rFonts w:hint="default" w:ascii="Times New Roman" w:hAnsi="Times New Roman" w:eastAsia="方正仿宋_GBK" w:cs="Times New Roman"/>
                <w:sz w:val="24"/>
                <w:szCs w:val="24"/>
                <w:highlight w:val="none"/>
              </w:rPr>
              <w:t>年</w:t>
            </w:r>
            <w:r>
              <w:rPr>
                <w:rFonts w:hint="default" w:ascii="Times New Roman" w:hAnsi="Times New Roman" w:eastAsia="方正仿宋_GBK" w:cs="Times New Roman"/>
                <w:sz w:val="24"/>
                <w:szCs w:val="24"/>
                <w:highlight w:val="none"/>
                <w:lang w:val="en-US" w:eastAsia="zh-CN"/>
              </w:rPr>
              <w:t>7</w:t>
            </w:r>
            <w:r>
              <w:rPr>
                <w:rFonts w:hint="default" w:ascii="Times New Roman" w:hAnsi="Times New Roman" w:eastAsia="方正仿宋_GBK" w:cs="Times New Roman"/>
                <w:sz w:val="24"/>
                <w:szCs w:val="24"/>
                <w:highlight w:val="none"/>
              </w:rPr>
              <w:t>月</w:t>
            </w:r>
          </w:p>
        </w:tc>
      </w:tr>
    </w:tbl>
    <w:p>
      <w:pPr>
        <w:keepNext w:val="0"/>
        <w:keepLines w:val="0"/>
        <w:pageBreakBefore w:val="0"/>
        <w:widowControl/>
        <w:numPr>
          <w:ilvl w:val="0"/>
          <w:numId w:val="2"/>
        </w:numPr>
        <w:kinsoku/>
        <w:wordWrap/>
        <w:overflowPunct/>
        <w:topLinePunct w:val="0"/>
        <w:autoSpaceDE/>
        <w:autoSpaceDN/>
        <w:bidi w:val="0"/>
        <w:spacing w:line="580" w:lineRule="exact"/>
        <w:ind w:firstLine="640" w:firstLineChars="200"/>
        <w:outlineLvl w:val="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高级管理人员基本情况</w:t>
      </w:r>
    </w:p>
    <w:tbl>
      <w:tblPr>
        <w:tblStyle w:val="9"/>
        <w:tblW w:w="8852"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32"/>
        <w:gridCol w:w="965"/>
        <w:gridCol w:w="2800"/>
        <w:gridCol w:w="941"/>
        <w:gridCol w:w="1538"/>
        <w:gridCol w:w="157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724" w:hRule="atLeast"/>
          <w:jc w:val="center"/>
        </w:trPr>
        <w:tc>
          <w:tcPr>
            <w:tcW w:w="1032"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姓名</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（性别）</w:t>
            </w:r>
          </w:p>
        </w:tc>
        <w:tc>
          <w:tcPr>
            <w:tcW w:w="96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28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学历/学位</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（院校名称）</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职称</w:t>
            </w:r>
          </w:p>
        </w:tc>
        <w:tc>
          <w:tcPr>
            <w:tcW w:w="153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出生时间</w:t>
            </w:r>
            <w:r>
              <w:rPr>
                <w:rFonts w:hint="default" w:ascii="Times New Roman" w:hAnsi="Times New Roman" w:eastAsia="方正仿宋_GBK" w:cs="Times New Roman"/>
                <w:b/>
                <w:color w:val="auto"/>
                <w:kern w:val="0"/>
                <w:sz w:val="24"/>
                <w:szCs w:val="24"/>
                <w:highlight w:val="none"/>
              </w:rPr>
              <w:br w:type="textWrapping"/>
            </w:r>
            <w:r>
              <w:rPr>
                <w:rFonts w:hint="default" w:ascii="Times New Roman" w:hAnsi="Times New Roman" w:eastAsia="方正仿宋_GBK" w:cs="Times New Roman"/>
                <w:b/>
                <w:color w:val="auto"/>
                <w:kern w:val="0"/>
                <w:sz w:val="24"/>
                <w:szCs w:val="24"/>
                <w:highlight w:val="none"/>
              </w:rPr>
              <w:t>（年/月）</w:t>
            </w:r>
          </w:p>
        </w:tc>
        <w:tc>
          <w:tcPr>
            <w:tcW w:w="15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任职时间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王瑜</w:t>
            </w:r>
            <w:r>
              <w:rPr>
                <w:rFonts w:hint="default" w:ascii="Times New Roman" w:hAnsi="Times New Roman" w:eastAsia="方正仿宋_GBK" w:cs="Times New Roman"/>
                <w:color w:val="auto"/>
                <w:kern w:val="0"/>
                <w:sz w:val="24"/>
                <w:szCs w:val="24"/>
                <w:highlight w:val="none"/>
              </w:rPr>
              <w:t>(男)</w:t>
            </w:r>
          </w:p>
        </w:tc>
        <w:tc>
          <w:tcPr>
            <w:tcW w:w="96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行长</w:t>
            </w:r>
          </w:p>
        </w:tc>
        <w:tc>
          <w:tcPr>
            <w:tcW w:w="28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硕士研究生</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仿宋_GB2312" w:cs="Times New Roman"/>
                <w:sz w:val="24"/>
                <w:szCs w:val="24"/>
                <w:highlight w:val="none"/>
              </w:rPr>
              <w:t>重庆大学</w:t>
            </w:r>
            <w:r>
              <w:rPr>
                <w:rFonts w:hint="default" w:ascii="Times New Roman" w:hAnsi="Times New Roman" w:eastAsia="方正仿宋_GBK" w:cs="Times New Roman"/>
                <w:color w:val="auto"/>
                <w:kern w:val="0"/>
                <w:sz w:val="24"/>
                <w:szCs w:val="24"/>
                <w:highlight w:val="none"/>
                <w:lang w:eastAsia="zh-CN"/>
              </w:rPr>
              <w:t>）</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仿宋_GB2312" w:cs="Times New Roman"/>
                <w:sz w:val="24"/>
                <w:szCs w:val="24"/>
                <w:highlight w:val="none"/>
              </w:rPr>
              <w:t>软件设计师</w:t>
            </w:r>
          </w:p>
        </w:tc>
        <w:tc>
          <w:tcPr>
            <w:tcW w:w="153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sz w:val="24"/>
                <w:szCs w:val="24"/>
                <w:highlight w:val="none"/>
              </w:rPr>
              <w:t>198</w:t>
            </w:r>
            <w:r>
              <w:rPr>
                <w:rFonts w:hint="default" w:ascii="Times New Roman" w:hAnsi="Times New Roman" w:eastAsia="仿宋_GB2312" w:cs="Times New Roman"/>
                <w:sz w:val="24"/>
                <w:szCs w:val="24"/>
                <w:highlight w:val="none"/>
                <w:lang w:val="en-US" w:eastAsia="zh-CN"/>
              </w:rPr>
              <w:t>3年</w:t>
            </w:r>
            <w:r>
              <w:rPr>
                <w:rFonts w:hint="default" w:ascii="Times New Roman" w:hAnsi="Times New Roman" w:eastAsia="仿宋_GB2312" w:cs="Times New Roman"/>
                <w:sz w:val="24"/>
                <w:szCs w:val="24"/>
                <w:highlight w:val="none"/>
              </w:rPr>
              <w:t>12</w:t>
            </w:r>
            <w:r>
              <w:rPr>
                <w:rFonts w:hint="default" w:ascii="Times New Roman" w:hAnsi="Times New Roman" w:eastAsia="仿宋_GB2312" w:cs="Times New Roman"/>
                <w:sz w:val="24"/>
                <w:szCs w:val="24"/>
                <w:highlight w:val="none"/>
                <w:lang w:eastAsia="zh-CN"/>
              </w:rPr>
              <w:t>月</w:t>
            </w:r>
          </w:p>
        </w:tc>
        <w:tc>
          <w:tcPr>
            <w:tcW w:w="15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2018年</w:t>
            </w:r>
            <w:r>
              <w:rPr>
                <w:rFonts w:hint="default" w:ascii="Times New Roman" w:hAnsi="Times New Roman" w:eastAsia="方正仿宋_GBK" w:cs="Times New Roman"/>
                <w:color w:val="auto"/>
                <w:kern w:val="0"/>
                <w:sz w:val="24"/>
                <w:szCs w:val="24"/>
                <w:highlight w:val="none"/>
                <w:lang w:val="en-US" w:eastAsia="zh-CN"/>
              </w:rPr>
              <w:t>9</w:t>
            </w:r>
            <w:r>
              <w:rPr>
                <w:rFonts w:hint="default" w:ascii="Times New Roman" w:hAnsi="Times New Roman" w:eastAsia="方正仿宋_GBK" w:cs="Times New Roman"/>
                <w:color w:val="auto"/>
                <w:kern w:val="0"/>
                <w:sz w:val="24"/>
                <w:szCs w:val="24"/>
                <w:highlight w:val="none"/>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王剑英</w:t>
            </w:r>
            <w:r>
              <w:rPr>
                <w:rFonts w:hint="default" w:ascii="Times New Roman" w:hAnsi="Times New Roman" w:eastAsia="方正仿宋_GBK" w:cs="Times New Roman"/>
                <w:color w:val="auto"/>
                <w:kern w:val="0"/>
                <w:sz w:val="24"/>
                <w:szCs w:val="24"/>
                <w:highlight w:val="none"/>
              </w:rPr>
              <w:t>（男）</w:t>
            </w:r>
          </w:p>
        </w:tc>
        <w:tc>
          <w:tcPr>
            <w:tcW w:w="96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副行长</w:t>
            </w:r>
          </w:p>
        </w:tc>
        <w:tc>
          <w:tcPr>
            <w:tcW w:w="28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大学</w:t>
            </w:r>
            <w:r>
              <w:rPr>
                <w:rFonts w:hint="default" w:ascii="Times New Roman" w:hAnsi="Times New Roman" w:eastAsia="方正仿宋_GBK" w:cs="Times New Roman"/>
                <w:color w:val="auto"/>
                <w:kern w:val="0"/>
                <w:sz w:val="24"/>
                <w:szCs w:val="24"/>
                <w:highlight w:val="none"/>
              </w:rPr>
              <w:t>本科</w:t>
            </w:r>
            <w:r>
              <w:rPr>
                <w:rFonts w:hint="default" w:ascii="Times New Roman" w:hAnsi="Times New Roman" w:eastAsia="方正仿宋_GBK" w:cs="Times New Roman"/>
                <w:color w:val="auto"/>
                <w:kern w:val="0"/>
                <w:sz w:val="24"/>
                <w:szCs w:val="24"/>
                <w:highlight w:val="none"/>
                <w:lang w:val="en-US" w:eastAsia="zh-CN"/>
              </w:rPr>
              <w:t>/学士学位</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福建农林大</w:t>
            </w:r>
            <w:r>
              <w:rPr>
                <w:rFonts w:hint="default" w:ascii="Times New Roman" w:hAnsi="Times New Roman" w:eastAsia="仿宋_GB2312" w:cs="Times New Roman"/>
                <w:sz w:val="24"/>
                <w:szCs w:val="24"/>
                <w:highlight w:val="none"/>
              </w:rPr>
              <w:t>学</w:t>
            </w:r>
            <w:r>
              <w:rPr>
                <w:rFonts w:hint="default" w:ascii="Times New Roman" w:hAnsi="Times New Roman" w:eastAsia="仿宋_GB2312" w:cs="Times New Roman"/>
                <w:sz w:val="24"/>
                <w:szCs w:val="24"/>
                <w:highlight w:val="none"/>
                <w:lang w:eastAsia="zh-CN"/>
              </w:rPr>
              <w:t>）</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经济师</w:t>
            </w:r>
          </w:p>
        </w:tc>
        <w:tc>
          <w:tcPr>
            <w:tcW w:w="153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1984年8月</w:t>
            </w:r>
          </w:p>
        </w:tc>
        <w:tc>
          <w:tcPr>
            <w:tcW w:w="15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2015年9月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张振（男）</w:t>
            </w:r>
          </w:p>
        </w:tc>
        <w:tc>
          <w:tcPr>
            <w:tcW w:w="96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副行长兼风险管理部经理</w:t>
            </w:r>
          </w:p>
        </w:tc>
        <w:tc>
          <w:tcPr>
            <w:tcW w:w="28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大学本科/学士学位</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eastAsia="zh-CN"/>
              </w:rPr>
              <w:t>重庆工学院）</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助理会计师</w:t>
            </w:r>
          </w:p>
        </w:tc>
        <w:tc>
          <w:tcPr>
            <w:tcW w:w="153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1980年8月</w:t>
            </w:r>
          </w:p>
        </w:tc>
        <w:tc>
          <w:tcPr>
            <w:tcW w:w="15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2018年1月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吴育彬（女）</w:t>
            </w:r>
          </w:p>
        </w:tc>
        <w:tc>
          <w:tcPr>
            <w:tcW w:w="96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营运管理部经理</w:t>
            </w:r>
          </w:p>
        </w:tc>
        <w:tc>
          <w:tcPr>
            <w:tcW w:w="28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大学本科/学士学位</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eastAsia="zh-CN"/>
              </w:rPr>
              <w:t>福建师范大学协和学院）</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初级会计师、中级经济师</w:t>
            </w:r>
          </w:p>
        </w:tc>
        <w:tc>
          <w:tcPr>
            <w:tcW w:w="153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1986年6月</w:t>
            </w:r>
          </w:p>
        </w:tc>
        <w:tc>
          <w:tcPr>
            <w:tcW w:w="15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2021年6月</w:t>
            </w:r>
          </w:p>
        </w:tc>
      </w:tr>
    </w:tbl>
    <w:p>
      <w:pPr>
        <w:widowControl/>
        <w:spacing w:line="360" w:lineRule="auto"/>
        <w:outlineLvl w:val="0"/>
        <w:rPr>
          <w:rFonts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Cs/>
          <w:color w:val="auto"/>
          <w:kern w:val="0"/>
          <w:sz w:val="32"/>
          <w:szCs w:val="32"/>
        </w:rPr>
        <w:t>四、员工情况</w:t>
      </w:r>
    </w:p>
    <w:tbl>
      <w:tblPr>
        <w:tblStyle w:val="9"/>
        <w:tblpPr w:leftFromText="180" w:rightFromText="180" w:vertAnchor="text" w:horzAnchor="page" w:tblpX="1560" w:tblpY="581"/>
        <w:tblOverlap w:val="never"/>
        <w:tblW w:w="88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20"/>
        <w:gridCol w:w="2340"/>
        <w:gridCol w:w="30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专业类别</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员工人数</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占员工总数的比例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highlight w:val="none"/>
              </w:rPr>
            </w:pPr>
            <w:bookmarkStart w:id="1" w:name="OLE_LINK1" w:colFirst="1" w:colLast="1"/>
            <w:r>
              <w:rPr>
                <w:rFonts w:ascii="Times New Roman" w:hAnsi="Times New Roman" w:eastAsia="方正仿宋_GBK" w:cs="Times New Roman"/>
                <w:color w:val="auto"/>
                <w:kern w:val="0"/>
                <w:sz w:val="28"/>
                <w:szCs w:val="28"/>
                <w:highlight w:val="none"/>
              </w:rPr>
              <w:t>经营管理层</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widowControl/>
              <w:ind w:right="240"/>
              <w:jc w:val="center"/>
              <w:rPr>
                <w:rFonts w:hint="default" w:ascii="Times New Roman" w:hAnsi="Times New Roman" w:eastAsia="方正仿宋_GBK" w:cs="Times New Roman"/>
                <w:color w:val="auto"/>
                <w:kern w:val="0"/>
                <w:sz w:val="28"/>
                <w:szCs w:val="28"/>
                <w:highlight w:val="none"/>
                <w:lang w:eastAsia="zh-CN"/>
              </w:rPr>
            </w:pPr>
            <w:r>
              <w:rPr>
                <w:rFonts w:hint="eastAsia" w:ascii="Times New Roman" w:hAnsi="Times New Roman" w:eastAsia="方正仿宋_GBK" w:cs="Times New Roman"/>
                <w:color w:val="auto"/>
                <w:kern w:val="0"/>
                <w:sz w:val="28"/>
                <w:szCs w:val="28"/>
                <w:highlight w:val="none"/>
                <w:lang w:val="en-US" w:eastAsia="zh-CN"/>
              </w:rPr>
              <w:t>6</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widowControl/>
              <w:ind w:right="480"/>
              <w:jc w:val="center"/>
              <w:rPr>
                <w:rFonts w:hint="default"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33.33%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业务</w:t>
            </w:r>
            <w:r>
              <w:rPr>
                <w:rFonts w:hint="eastAsia" w:ascii="Times New Roman" w:hAnsi="Times New Roman" w:eastAsia="方正仿宋_GBK" w:cs="Times New Roman"/>
                <w:color w:val="auto"/>
                <w:kern w:val="0"/>
                <w:sz w:val="28"/>
                <w:szCs w:val="28"/>
                <w:highlight w:val="none"/>
              </w:rPr>
              <w:t>发</w:t>
            </w:r>
            <w:r>
              <w:rPr>
                <w:rFonts w:ascii="Times New Roman" w:hAnsi="Times New Roman" w:eastAsia="方正仿宋_GBK" w:cs="Times New Roman"/>
                <w:color w:val="auto"/>
                <w:kern w:val="0"/>
                <w:sz w:val="28"/>
                <w:szCs w:val="28"/>
                <w:highlight w:val="none"/>
              </w:rPr>
              <w:t>展部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widowControl/>
              <w:ind w:right="120"/>
              <w:jc w:val="center"/>
              <w:rPr>
                <w:rFonts w:hint="eastAsia" w:ascii="Times New Roman" w:hAnsi="Times New Roman" w:eastAsia="方正仿宋_GBK" w:cs="Times New Roman"/>
                <w:color w:val="auto"/>
                <w:kern w:val="0"/>
                <w:sz w:val="28"/>
                <w:szCs w:val="28"/>
                <w:highlight w:val="none"/>
                <w:lang w:eastAsia="zh-CN"/>
              </w:rPr>
            </w:pPr>
            <w:r>
              <w:rPr>
                <w:rFonts w:hint="eastAsia" w:ascii="Times New Roman" w:hAnsi="Times New Roman" w:eastAsia="方正仿宋_GBK" w:cs="Times New Roman"/>
                <w:color w:val="auto"/>
                <w:kern w:val="0"/>
                <w:sz w:val="28"/>
                <w:szCs w:val="28"/>
                <w:highlight w:val="none"/>
                <w:lang w:val="en-US" w:eastAsia="zh-CN"/>
              </w:rPr>
              <w:t>3</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widowControl/>
              <w:ind w:right="480"/>
              <w:jc w:val="center"/>
              <w:rPr>
                <w:rFonts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16.67%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风险管理部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widowControl/>
              <w:ind w:right="360"/>
              <w:jc w:val="center"/>
              <w:rPr>
                <w:rFonts w:hint="eastAsia"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 xml:space="preserve"> 3</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widowControl/>
              <w:ind w:right="480"/>
              <w:jc w:val="center"/>
              <w:rPr>
                <w:rFonts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16.67%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综</w:t>
            </w:r>
            <w:r>
              <w:rPr>
                <w:rFonts w:hint="eastAsia" w:ascii="Times New Roman" w:hAnsi="Times New Roman" w:eastAsia="方正仿宋_GBK" w:cs="Times New Roman"/>
                <w:color w:val="auto"/>
                <w:kern w:val="0"/>
                <w:sz w:val="28"/>
                <w:szCs w:val="28"/>
                <w:highlight w:val="none"/>
                <w:lang w:eastAsia="zh-CN"/>
              </w:rPr>
              <w:t>合管理</w:t>
            </w:r>
            <w:r>
              <w:rPr>
                <w:rFonts w:ascii="Times New Roman" w:hAnsi="Times New Roman" w:eastAsia="方正仿宋_GBK" w:cs="Times New Roman"/>
                <w:color w:val="auto"/>
                <w:kern w:val="0"/>
                <w:sz w:val="28"/>
                <w:szCs w:val="28"/>
                <w:highlight w:val="none"/>
              </w:rPr>
              <w:t>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widowControl/>
              <w:ind w:right="360"/>
              <w:jc w:val="center"/>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 xml:space="preserve"> 1</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widowControl/>
              <w:ind w:right="480" w:firstLine="840" w:firstLineChars="300"/>
              <w:jc w:val="both"/>
              <w:rPr>
                <w:rFonts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5.56%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Times New Roman" w:hAnsi="Times New Roman" w:eastAsia="方正仿宋_GBK" w:cs="Times New Roman"/>
                <w:color w:val="auto"/>
                <w:kern w:val="0"/>
                <w:sz w:val="28"/>
                <w:szCs w:val="28"/>
                <w:highlight w:val="none"/>
                <w:lang w:eastAsia="zh-CN"/>
              </w:rPr>
            </w:pPr>
            <w:r>
              <w:rPr>
                <w:rFonts w:hint="eastAsia" w:ascii="Times New Roman" w:hAnsi="Times New Roman" w:eastAsia="方正仿宋_GBK" w:cs="Times New Roman"/>
                <w:color w:val="auto"/>
                <w:kern w:val="0"/>
                <w:sz w:val="28"/>
                <w:szCs w:val="28"/>
                <w:highlight w:val="none"/>
                <w:lang w:eastAsia="zh-CN"/>
              </w:rPr>
              <w:t>营运管理部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widowControl/>
              <w:ind w:right="480"/>
              <w:jc w:val="center"/>
              <w:rPr>
                <w:rFonts w:hint="default" w:ascii="Times New Roman" w:hAnsi="Times New Roman" w:eastAsia="方正仿宋_GBK" w:cs="Times New Roman"/>
                <w:color w:val="auto"/>
                <w:kern w:val="0"/>
                <w:sz w:val="28"/>
                <w:szCs w:val="28"/>
                <w:highlight w:val="none"/>
                <w:lang w:eastAsia="zh-CN"/>
              </w:rPr>
            </w:pPr>
            <w:r>
              <w:rPr>
                <w:rFonts w:hint="eastAsia" w:ascii="Times New Roman" w:hAnsi="Times New Roman" w:eastAsia="方正仿宋_GBK" w:cs="Times New Roman"/>
                <w:color w:val="auto"/>
                <w:kern w:val="0"/>
                <w:sz w:val="28"/>
                <w:szCs w:val="28"/>
                <w:highlight w:val="none"/>
                <w:lang w:val="en-US" w:eastAsia="zh-CN"/>
              </w:rPr>
              <w:t xml:space="preserve"> 1</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widowControl/>
              <w:ind w:right="480"/>
              <w:jc w:val="center"/>
              <w:rPr>
                <w:rFonts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5.56%</w:t>
            </w:r>
          </w:p>
        </w:tc>
      </w:tr>
      <w:bookmarkEnd w:id="1"/>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营业部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widowControl/>
              <w:ind w:right="480" w:rightChars="0"/>
              <w:jc w:val="center"/>
              <w:rPr>
                <w:rFonts w:hint="eastAsia"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 xml:space="preserve"> 4</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widowControl/>
              <w:ind w:right="480" w:rightChars="0"/>
              <w:jc w:val="center"/>
              <w:rPr>
                <w:rFonts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22.21%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合计</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widowControl/>
              <w:ind w:right="480" w:rightChars="0"/>
              <w:jc w:val="center"/>
              <w:rPr>
                <w:rFonts w:hint="default"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18</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widowControl/>
              <w:ind w:right="480" w:rightChars="0"/>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100%</w:t>
            </w:r>
          </w:p>
        </w:tc>
      </w:tr>
    </w:tbl>
    <w:p>
      <w:pPr>
        <w:widowControl/>
        <w:spacing w:line="360" w:lineRule="auto"/>
        <w:ind w:firstLine="482" w:firstLineChars="150"/>
        <w:jc w:val="left"/>
        <w:rPr>
          <w:rFonts w:ascii="Times New Roman" w:hAnsi="Times New Roman" w:eastAsia="方正仿宋_GBK" w:cs="Times New Roman"/>
          <w:color w:val="auto"/>
          <w:kern w:val="0"/>
          <w:sz w:val="32"/>
          <w:szCs w:val="32"/>
        </w:rPr>
      </w:pPr>
      <w:r>
        <w:rPr>
          <w:rFonts w:hint="eastAsia" w:ascii="方正楷体_GBK" w:hAnsi="方正楷体_GBK" w:eastAsia="方正楷体_GBK" w:cs="方正楷体_GBK"/>
          <w:b/>
          <w:bCs/>
          <w:color w:val="auto"/>
          <w:kern w:val="0"/>
          <w:sz w:val="32"/>
          <w:szCs w:val="32"/>
        </w:rPr>
        <w:t>（一）员工专业结构情况</w:t>
      </w:r>
    </w:p>
    <w:p>
      <w:pPr>
        <w:widowControl/>
        <w:spacing w:line="360" w:lineRule="auto"/>
        <w:ind w:firstLine="640" w:firstLineChars="200"/>
        <w:jc w:val="left"/>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其中：</w:t>
      </w:r>
    </w:p>
    <w:p>
      <w:pPr>
        <w:widowControl/>
        <w:spacing w:line="360" w:lineRule="auto"/>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1.经营管理层包括在本行任职的执行董事、行长、副行长、部门</w:t>
      </w:r>
      <w:r>
        <w:rPr>
          <w:rFonts w:hint="eastAsia" w:ascii="Times New Roman" w:hAnsi="Times New Roman" w:eastAsia="方正仿宋_GBK" w:cs="Times New Roman"/>
          <w:color w:val="auto"/>
          <w:kern w:val="0"/>
          <w:sz w:val="32"/>
          <w:szCs w:val="32"/>
          <w:lang w:eastAsia="zh-CN"/>
        </w:rPr>
        <w:t>（</w:t>
      </w:r>
      <w:r>
        <w:rPr>
          <w:rFonts w:ascii="Times New Roman" w:hAnsi="Times New Roman" w:eastAsia="方正仿宋_GBK" w:cs="Times New Roman"/>
          <w:color w:val="auto"/>
          <w:kern w:val="0"/>
          <w:sz w:val="32"/>
          <w:szCs w:val="32"/>
        </w:rPr>
        <w:t>副</w:t>
      </w:r>
      <w:r>
        <w:rPr>
          <w:rFonts w:hint="eastAsia" w:ascii="Times New Roman" w:hAnsi="Times New Roman" w:eastAsia="方正仿宋_GBK" w:cs="Times New Roman"/>
          <w:color w:val="auto"/>
          <w:kern w:val="0"/>
          <w:sz w:val="32"/>
          <w:szCs w:val="32"/>
          <w:lang w:eastAsia="zh-CN"/>
        </w:rPr>
        <w:t>）</w:t>
      </w:r>
      <w:r>
        <w:rPr>
          <w:rFonts w:ascii="Times New Roman" w:hAnsi="Times New Roman" w:eastAsia="方正仿宋_GBK" w:cs="Times New Roman"/>
          <w:color w:val="auto"/>
          <w:kern w:val="0"/>
          <w:sz w:val="32"/>
          <w:szCs w:val="32"/>
        </w:rPr>
        <w:t>经理</w:t>
      </w:r>
      <w:r>
        <w:rPr>
          <w:rFonts w:hint="eastAsia" w:ascii="Times New Roman" w:hAnsi="Times New Roman" w:eastAsia="方正仿宋_GBK" w:cs="Times New Roman"/>
          <w:color w:val="auto"/>
          <w:kern w:val="0"/>
          <w:sz w:val="32"/>
          <w:szCs w:val="32"/>
          <w:lang w:eastAsia="zh-CN"/>
        </w:rPr>
        <w:t>、营业机构（副）主任</w:t>
      </w:r>
      <w:r>
        <w:rPr>
          <w:rFonts w:hint="eastAsia" w:ascii="Times New Roman" w:hAnsi="Times New Roman" w:eastAsia="方正仿宋_GBK" w:cs="Times New Roman"/>
          <w:color w:val="auto"/>
          <w:kern w:val="0"/>
          <w:sz w:val="32"/>
          <w:szCs w:val="32"/>
        </w:rPr>
        <w:t>及</w:t>
      </w:r>
      <w:r>
        <w:rPr>
          <w:rFonts w:ascii="Times New Roman" w:hAnsi="Times New Roman" w:eastAsia="方正仿宋_GBK" w:cs="Times New Roman"/>
          <w:color w:val="auto"/>
          <w:kern w:val="0"/>
          <w:sz w:val="32"/>
          <w:szCs w:val="32"/>
        </w:rPr>
        <w:t>以上行政职务人员；</w:t>
      </w:r>
    </w:p>
    <w:p>
      <w:pPr>
        <w:widowControl/>
        <w:spacing w:line="360" w:lineRule="auto"/>
        <w:ind w:firstLine="640" w:firstLineChars="200"/>
        <w:jc w:val="left"/>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2.其他条线部门包括本条线相关人员。</w:t>
      </w:r>
    </w:p>
    <w:p>
      <w:pPr>
        <w:widowControl/>
        <w:spacing w:line="360" w:lineRule="auto"/>
        <w:ind w:firstLine="643" w:firstLineChars="200"/>
        <w:jc w:val="left"/>
        <w:rPr>
          <w:rFonts w:ascii="Times New Roman" w:hAnsi="Times New Roman" w:eastAsia="方正仿宋_GBK" w:cs="Times New Roman"/>
          <w:color w:val="auto"/>
          <w:kern w:val="0"/>
          <w:sz w:val="32"/>
          <w:szCs w:val="32"/>
        </w:rPr>
      </w:pPr>
      <w:r>
        <w:rPr>
          <w:rFonts w:hint="eastAsia" w:ascii="方正楷体_GBK" w:hAnsi="方正楷体_GBK" w:eastAsia="方正楷体_GBK" w:cs="方正楷体_GBK"/>
          <w:b/>
          <w:bCs/>
          <w:color w:val="auto"/>
          <w:kern w:val="0"/>
          <w:sz w:val="32"/>
          <w:szCs w:val="32"/>
        </w:rPr>
        <w:t>（二）员工受教育程度</w:t>
      </w:r>
    </w:p>
    <w:tbl>
      <w:tblPr>
        <w:tblStyle w:val="9"/>
        <w:tblpPr w:leftFromText="180" w:rightFromText="180" w:vertAnchor="text" w:horzAnchor="page" w:tblpX="1576" w:tblpY="606"/>
        <w:tblOverlap w:val="never"/>
        <w:tblW w:w="882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60"/>
        <w:gridCol w:w="1980"/>
        <w:gridCol w:w="28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学历类别</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员工人数</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占员工总数的比例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本科及本科以上</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widowControl/>
              <w:tabs>
                <w:tab w:val="left" w:pos="569"/>
                <w:tab w:val="center" w:pos="863"/>
              </w:tabs>
              <w:ind w:right="360"/>
              <w:jc w:val="center"/>
              <w:rPr>
                <w:rFonts w:hint="default"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16</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widowControl/>
              <w:ind w:right="120"/>
              <w:jc w:val="center"/>
              <w:rPr>
                <w:rFonts w:hint="default"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88.89%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大专</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widowControl/>
              <w:ind w:right="360"/>
              <w:jc w:val="center"/>
              <w:rPr>
                <w:rFonts w:hint="eastAsia"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2</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widowControl/>
              <w:ind w:right="360"/>
              <w:jc w:val="center"/>
              <w:rPr>
                <w:rFonts w:hint="default"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11.11%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中专</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widowControl/>
              <w:ind w:firstLine="840" w:firstLineChars="300"/>
              <w:jc w:val="both"/>
              <w:rPr>
                <w:rFonts w:hint="eastAsia"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0</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高中及其他</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widowControl/>
              <w:ind w:firstLine="840" w:firstLineChars="300"/>
              <w:jc w:val="both"/>
              <w:rPr>
                <w:rFonts w:hint="eastAsia"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0</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合计</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widowControl/>
              <w:ind w:right="600"/>
              <w:jc w:val="center"/>
              <w:rPr>
                <w:rFonts w:hint="default" w:ascii="Times New Roman" w:hAnsi="Times New Roman" w:eastAsia="方正仿宋_GBK" w:cs="Times New Roman"/>
                <w:color w:val="auto"/>
                <w:kern w:val="0"/>
                <w:sz w:val="28"/>
                <w:szCs w:val="28"/>
                <w:highlight w:val="none"/>
                <w:lang w:val="en-US"/>
              </w:rPr>
            </w:pPr>
            <w:r>
              <w:rPr>
                <w:rFonts w:hint="eastAsia" w:ascii="Times New Roman" w:hAnsi="Times New Roman" w:eastAsia="方正仿宋_GBK" w:cs="Times New Roman"/>
                <w:color w:val="auto"/>
                <w:kern w:val="0"/>
                <w:sz w:val="28"/>
                <w:szCs w:val="28"/>
                <w:highlight w:val="none"/>
                <w:lang w:val="en-US" w:eastAsia="zh-CN"/>
              </w:rPr>
              <w:t>18</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widowControl/>
              <w:ind w:right="240"/>
              <w:jc w:val="center"/>
              <w:rPr>
                <w:rFonts w:ascii="Times New Roman" w:hAnsi="Times New Roman" w:eastAsia="方正仿宋_GBK" w:cs="Times New Roman"/>
                <w:color w:val="auto"/>
                <w:kern w:val="0"/>
                <w:sz w:val="28"/>
                <w:szCs w:val="28"/>
                <w:highlight w:val="none"/>
              </w:rPr>
            </w:pPr>
            <w:r>
              <w:rPr>
                <w:rFonts w:ascii="Times New Roman" w:hAnsi="Times New Roman" w:eastAsia="方正仿宋_GBK" w:cs="Times New Roman"/>
                <w:color w:val="auto"/>
                <w:kern w:val="0"/>
                <w:sz w:val="28"/>
                <w:szCs w:val="28"/>
                <w:highlight w:val="none"/>
              </w:rPr>
              <w:t>100%</w:t>
            </w:r>
          </w:p>
        </w:tc>
      </w:tr>
    </w:tbl>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highlight w:val="yellow"/>
        </w:rPr>
      </w:pPr>
      <w:r>
        <w:rPr>
          <w:rFonts w:hint="default" w:ascii="Times New Roman" w:hAnsi="Times New Roman" w:eastAsia="方正小标宋_GBK" w:cs="Times New Roman"/>
          <w:bCs/>
          <w:color w:val="auto"/>
          <w:kern w:val="0"/>
          <w:sz w:val="32"/>
          <w:szCs w:val="32"/>
          <w:highlight w:val="none"/>
        </w:rPr>
        <w:t>第五节  部门设置情况</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一、部门设置</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本行设置业务发展部、风险管理部、综合部、运营管理部和营业部五个部门。</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二、各部门职能</w:t>
      </w:r>
    </w:p>
    <w:tbl>
      <w:tblPr>
        <w:tblStyle w:val="9"/>
        <w:tblW w:w="8499"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部门名称</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营运管理</w:t>
            </w:r>
            <w:r>
              <w:rPr>
                <w:rFonts w:hint="default" w:ascii="Times New Roman" w:hAnsi="Times New Roman" w:eastAsia="方正仿宋_GBK" w:cs="Times New Roman"/>
                <w:color w:val="auto"/>
                <w:kern w:val="0"/>
                <w:sz w:val="24"/>
                <w:szCs w:val="24"/>
                <w:highlight w:val="none"/>
              </w:rPr>
              <w:t>部</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制度建设、</w:t>
            </w:r>
            <w:r>
              <w:rPr>
                <w:rFonts w:hint="default" w:ascii="Times New Roman" w:hAnsi="Times New Roman" w:eastAsia="方正仿宋_GBK" w:cs="Times New Roman"/>
                <w:color w:val="auto"/>
                <w:kern w:val="0"/>
                <w:sz w:val="24"/>
                <w:szCs w:val="24"/>
                <w:highlight w:val="none"/>
                <w:lang w:eastAsia="zh-CN"/>
              </w:rPr>
              <w:t>公司治理、</w:t>
            </w:r>
            <w:r>
              <w:rPr>
                <w:rFonts w:hint="default" w:ascii="Times New Roman" w:hAnsi="Times New Roman" w:eastAsia="方正仿宋_GBK" w:cs="Times New Roman"/>
                <w:color w:val="auto"/>
                <w:kern w:val="0"/>
                <w:sz w:val="24"/>
                <w:szCs w:val="24"/>
                <w:highlight w:val="none"/>
              </w:rPr>
              <w:t>会计结算管理、现金管理、资产负债管理、财务管理、</w:t>
            </w:r>
            <w:r>
              <w:rPr>
                <w:rFonts w:hint="default" w:ascii="Times New Roman" w:hAnsi="Times New Roman" w:eastAsia="方正仿宋_GBK" w:cs="Times New Roman"/>
                <w:color w:val="auto"/>
                <w:kern w:val="0"/>
                <w:sz w:val="24"/>
                <w:szCs w:val="24"/>
                <w:highlight w:val="none"/>
                <w:lang w:eastAsia="zh-CN"/>
              </w:rPr>
              <w:t>运行管理及</w:t>
            </w:r>
            <w:r>
              <w:rPr>
                <w:rFonts w:hint="default" w:ascii="Times New Roman" w:hAnsi="Times New Roman" w:eastAsia="方正仿宋_GBK" w:cs="Times New Roman"/>
                <w:color w:val="auto"/>
                <w:kern w:val="0"/>
                <w:sz w:val="24"/>
                <w:szCs w:val="24"/>
                <w:highlight w:val="none"/>
              </w:rPr>
              <w:t>其他等</w:t>
            </w:r>
            <w:r>
              <w:rPr>
                <w:rFonts w:hint="default" w:ascii="Times New Roman" w:hAnsi="Times New Roman" w:eastAsia="方正仿宋_GBK" w:cs="Times New Roman"/>
                <w:color w:val="auto"/>
                <w:kern w:val="0"/>
                <w:sz w:val="24"/>
                <w:szCs w:val="24"/>
                <w:highlight w:val="none"/>
                <w:lang w:val="en-US" w:eastAsia="zh-CN"/>
              </w:rPr>
              <w:t>八</w:t>
            </w:r>
            <w:r>
              <w:rPr>
                <w:rFonts w:hint="default" w:ascii="Times New Roman" w:hAnsi="Times New Roman" w:eastAsia="方正仿宋_GBK" w:cs="Times New Roman"/>
                <w:color w:val="auto"/>
                <w:kern w:val="0"/>
                <w:sz w:val="24"/>
                <w:szCs w:val="24"/>
                <w:highlight w:val="none"/>
              </w:rPr>
              <w:t>大职责</w:t>
            </w:r>
            <w:r>
              <w:rPr>
                <w:rFonts w:hint="default" w:ascii="Times New Roman" w:hAnsi="Times New Roman" w:eastAsia="方正仿宋_GBK" w:cs="Times New Roman"/>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综合管理部</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制度建设、综合管理、人力资源管理、薪酬管理、渠道管理</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党群建设、计划考核管理</w:t>
            </w:r>
            <w:r>
              <w:rPr>
                <w:rFonts w:hint="default" w:ascii="Times New Roman" w:hAnsi="Times New Roman" w:eastAsia="方正仿宋_GBK" w:cs="Times New Roman"/>
                <w:color w:val="auto"/>
                <w:kern w:val="0"/>
                <w:sz w:val="24"/>
                <w:szCs w:val="24"/>
                <w:highlight w:val="none"/>
                <w:lang w:eastAsia="zh-CN"/>
              </w:rPr>
              <w:t>及</w:t>
            </w:r>
            <w:r>
              <w:rPr>
                <w:rFonts w:hint="default" w:ascii="Times New Roman" w:hAnsi="Times New Roman" w:eastAsia="方正仿宋_GBK" w:cs="Times New Roman"/>
                <w:color w:val="auto"/>
                <w:kern w:val="0"/>
                <w:sz w:val="24"/>
                <w:szCs w:val="24"/>
                <w:highlight w:val="none"/>
              </w:rPr>
              <w:t>其他等</w:t>
            </w:r>
            <w:r>
              <w:rPr>
                <w:rFonts w:hint="default" w:ascii="Times New Roman" w:hAnsi="Times New Roman" w:eastAsia="方正仿宋_GBK" w:cs="Times New Roman"/>
                <w:color w:val="auto"/>
                <w:kern w:val="0"/>
                <w:sz w:val="24"/>
                <w:szCs w:val="24"/>
                <w:highlight w:val="none"/>
                <w:lang w:val="en-US" w:eastAsia="zh-CN"/>
              </w:rPr>
              <w:t>八</w:t>
            </w:r>
            <w:r>
              <w:rPr>
                <w:rFonts w:hint="default" w:ascii="Times New Roman" w:hAnsi="Times New Roman" w:eastAsia="方正仿宋_GBK" w:cs="Times New Roman"/>
                <w:color w:val="auto"/>
                <w:kern w:val="0"/>
                <w:sz w:val="24"/>
                <w:szCs w:val="24"/>
                <w:highlight w:val="none"/>
              </w:rPr>
              <w:t>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54"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风险管理部</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制度建设、授信审查、出账审查、信贷管理、不良信贷资产管理、风险管理、合规管理、审计稽核、安全保卫、纪检监察、征信管理</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押品管理、消费者权益保护、案防管理、关联交易及其他</w:t>
            </w:r>
            <w:r>
              <w:rPr>
                <w:rFonts w:hint="default" w:ascii="Times New Roman" w:hAnsi="Times New Roman" w:eastAsia="方正仿宋_GBK" w:cs="Times New Roman"/>
                <w:color w:val="auto"/>
                <w:kern w:val="0"/>
                <w:sz w:val="24"/>
                <w:szCs w:val="24"/>
                <w:highlight w:val="none"/>
              </w:rPr>
              <w:t>等十</w:t>
            </w:r>
            <w:r>
              <w:rPr>
                <w:rFonts w:hint="default" w:ascii="Times New Roman" w:hAnsi="Times New Roman" w:eastAsia="方正仿宋_GBK" w:cs="Times New Roman"/>
                <w:color w:val="auto"/>
                <w:kern w:val="0"/>
                <w:sz w:val="24"/>
                <w:szCs w:val="24"/>
                <w:highlight w:val="none"/>
                <w:lang w:val="en-US" w:eastAsia="zh-CN"/>
              </w:rPr>
              <w:t>六</w:t>
            </w:r>
            <w:r>
              <w:rPr>
                <w:rFonts w:hint="default" w:ascii="Times New Roman" w:hAnsi="Times New Roman" w:eastAsia="方正仿宋_GBK" w:cs="Times New Roman"/>
                <w:color w:val="auto"/>
                <w:kern w:val="0"/>
                <w:sz w:val="24"/>
                <w:szCs w:val="24"/>
                <w:highlight w:val="none"/>
              </w:rPr>
              <w:t>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21"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业务发展部</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目标客户、制度建设、条线考核、优质文明服务、营销管理、授信管理、团队管理、统计报送、征信</w:t>
            </w:r>
            <w:r>
              <w:rPr>
                <w:rFonts w:hint="default" w:ascii="Times New Roman" w:hAnsi="Times New Roman" w:eastAsia="方正仿宋_GBK" w:cs="Times New Roman"/>
                <w:color w:val="auto"/>
                <w:kern w:val="0"/>
                <w:sz w:val="24"/>
                <w:szCs w:val="24"/>
                <w:highlight w:val="none"/>
                <w:lang w:eastAsia="zh-CN"/>
              </w:rPr>
              <w:t>查询</w:t>
            </w:r>
            <w:r>
              <w:rPr>
                <w:rFonts w:hint="default" w:ascii="Times New Roman" w:hAnsi="Times New Roman" w:eastAsia="方正仿宋_GBK" w:cs="Times New Roman"/>
                <w:color w:val="auto"/>
                <w:kern w:val="0"/>
                <w:sz w:val="24"/>
                <w:szCs w:val="24"/>
                <w:highlight w:val="none"/>
              </w:rPr>
              <w:t>、其他等十大职责。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88"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营业部</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目标客户、制度建设、业务营销及管理、内部规范管理、其它等五大职责。</w:t>
            </w:r>
          </w:p>
        </w:tc>
      </w:tr>
    </w:tbl>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rPr>
      </w:pPr>
      <w:r>
        <w:rPr>
          <w:rFonts w:hint="default" w:ascii="Times New Roman" w:hAnsi="Times New Roman" w:eastAsia="方正小标宋_GBK" w:cs="Times New Roman"/>
          <w:bCs/>
          <w:color w:val="auto"/>
          <w:kern w:val="0"/>
          <w:sz w:val="32"/>
          <w:szCs w:val="32"/>
        </w:rPr>
        <w:t>第六节</w:t>
      </w:r>
      <w:r>
        <w:rPr>
          <w:rFonts w:hint="default" w:ascii="Times New Roman" w:hAnsi="Times New Roman" w:eastAsia="方正小标宋_GBK" w:cs="Times New Roman"/>
          <w:bCs/>
          <w:color w:val="auto"/>
          <w:kern w:val="0"/>
          <w:sz w:val="32"/>
          <w:szCs w:val="32"/>
          <w:lang w:val="en-US" w:eastAsia="zh-CN"/>
        </w:rPr>
        <w:t xml:space="preserve"> </w:t>
      </w:r>
      <w:r>
        <w:rPr>
          <w:rFonts w:hint="default" w:ascii="Times New Roman" w:hAnsi="Times New Roman" w:eastAsia="方正小标宋_GBK" w:cs="Times New Roman"/>
          <w:bCs/>
          <w:color w:val="auto"/>
          <w:kern w:val="0"/>
          <w:sz w:val="32"/>
          <w:szCs w:val="32"/>
        </w:rPr>
        <w:t>公司治理情况</w:t>
      </w:r>
    </w:p>
    <w:p>
      <w:pPr>
        <w:keepNext w:val="0"/>
        <w:keepLines w:val="0"/>
        <w:pageBreakBefore w:val="0"/>
        <w:widowControl/>
        <w:kinsoku/>
        <w:wordWrap/>
        <w:overflowPunct/>
        <w:topLinePunct w:val="0"/>
        <w:autoSpaceDE/>
        <w:autoSpaceDN/>
        <w:bidi w:val="0"/>
        <w:spacing w:line="580" w:lineRule="exact"/>
        <w:ind w:firstLine="796" w:firstLineChars="249"/>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一、公司组织机构</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设立了股东会、执行董事、监事会并制定了相应的议事规则和工作规程。报告期内，本公司严格按照《中华人民共和国公司法》（以下简称《公司法》、《中华人民共和国商业银行法》（以下简称《商业银行法》）等相关法律法规，结合本公司实际情况，不断完善治理结构，提高信息透明度，保护存款人利益，为股东创造价值，勇于承担社会责任。</w:t>
      </w:r>
    </w:p>
    <w:p>
      <w:pPr>
        <w:keepNext w:val="0"/>
        <w:keepLines w:val="0"/>
        <w:pageBreakBefore w:val="0"/>
        <w:widowControl/>
        <w:kinsoku/>
        <w:wordWrap/>
        <w:overflowPunct/>
        <w:topLinePunct w:val="0"/>
        <w:autoSpaceDE/>
        <w:autoSpaceDN/>
        <w:bidi w:val="0"/>
        <w:spacing w:line="580" w:lineRule="exact"/>
        <w:ind w:firstLine="796" w:firstLineChars="249"/>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二、股东会、执行董事和监事会职能</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本公司股东会、执行董事、监事会均能按照有关法律、法规和公司章程的规定及议事规则、工作规程独立有效运作。</w:t>
      </w:r>
    </w:p>
    <w:p>
      <w:pPr>
        <w:keepNext w:val="0"/>
        <w:keepLines w:val="0"/>
        <w:pageBreakBefore w:val="0"/>
        <w:numPr>
          <w:ilvl w:val="0"/>
          <w:numId w:val="3"/>
        </w:numPr>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rPr>
      </w:pPr>
      <w:r>
        <w:rPr>
          <w:rFonts w:hint="default" w:ascii="Times New Roman" w:hAnsi="Times New Roman" w:eastAsia="方正楷体_GBK" w:cs="Times New Roman"/>
          <w:b/>
          <w:bCs/>
          <w:color w:val="auto"/>
          <w:kern w:val="0"/>
          <w:sz w:val="32"/>
          <w:szCs w:val="32"/>
        </w:rPr>
        <w:t>股东会</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32"/>
          <w:szCs w:val="32"/>
        </w:rPr>
        <w:t>本公司股东会的职能和权力包括但不限于以下几个方面：</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rPr>
        <w:t>决定本行的经营方针和投资计划；</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rPr>
        <w:t>选举和罢免执行董事、监事，决定其报酬事项；</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rPr>
        <w:t>审议批准执行董事报告；</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rPr>
        <w:t>审议批准监事会报告；</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5.</w:t>
      </w:r>
      <w:r>
        <w:rPr>
          <w:rFonts w:hint="default" w:ascii="Times New Roman" w:hAnsi="Times New Roman" w:eastAsia="方正仿宋_GBK" w:cs="Times New Roman"/>
          <w:color w:val="auto"/>
          <w:sz w:val="32"/>
          <w:szCs w:val="32"/>
          <w:highlight w:val="none"/>
          <w:u w:val="none"/>
        </w:rPr>
        <w:t>审议批准本行的年度财务预算方案、决算方案；</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6.</w:t>
      </w:r>
      <w:r>
        <w:rPr>
          <w:rFonts w:hint="default" w:ascii="Times New Roman" w:hAnsi="Times New Roman" w:eastAsia="方正仿宋_GBK" w:cs="Times New Roman"/>
          <w:color w:val="auto"/>
          <w:sz w:val="32"/>
          <w:szCs w:val="32"/>
          <w:highlight w:val="none"/>
          <w:u w:val="none"/>
        </w:rPr>
        <w:t>审议批准本行的利润分配方案和亏损弥补方案；</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7.</w:t>
      </w:r>
      <w:r>
        <w:rPr>
          <w:rFonts w:hint="default" w:ascii="Times New Roman" w:hAnsi="Times New Roman" w:eastAsia="方正仿宋_GBK" w:cs="Times New Roman"/>
          <w:color w:val="auto"/>
          <w:sz w:val="32"/>
          <w:szCs w:val="32"/>
          <w:highlight w:val="none"/>
          <w:u w:val="none"/>
        </w:rPr>
        <w:t>对本行增加或者减少注册资本做出决议；</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8.</w:t>
      </w:r>
      <w:r>
        <w:rPr>
          <w:rFonts w:hint="default" w:ascii="Times New Roman" w:hAnsi="Times New Roman" w:eastAsia="方正仿宋_GBK" w:cs="Times New Roman"/>
          <w:color w:val="auto"/>
          <w:sz w:val="32"/>
          <w:szCs w:val="32"/>
          <w:highlight w:val="none"/>
          <w:u w:val="none"/>
        </w:rPr>
        <w:t>对本行投资及并购出资做出决议；</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9.</w:t>
      </w:r>
      <w:r>
        <w:rPr>
          <w:rFonts w:hint="default" w:ascii="Times New Roman" w:hAnsi="Times New Roman" w:eastAsia="方正仿宋_GBK" w:cs="Times New Roman"/>
          <w:color w:val="auto"/>
          <w:sz w:val="32"/>
          <w:szCs w:val="32"/>
          <w:highlight w:val="none"/>
          <w:u w:val="none"/>
        </w:rPr>
        <w:t>审议批准本行重大股权投资事项；</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10.</w:t>
      </w:r>
      <w:r>
        <w:rPr>
          <w:rFonts w:hint="default" w:ascii="Times New Roman" w:hAnsi="Times New Roman" w:eastAsia="方正仿宋_GBK" w:cs="Times New Roman"/>
          <w:color w:val="auto"/>
          <w:sz w:val="32"/>
          <w:szCs w:val="32"/>
          <w:highlight w:val="none"/>
          <w:u w:val="none"/>
        </w:rPr>
        <w:t>对发行本行债券做出决议；</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11.</w:t>
      </w:r>
      <w:r>
        <w:rPr>
          <w:rFonts w:hint="default" w:ascii="Times New Roman" w:hAnsi="Times New Roman" w:eastAsia="方正仿宋_GBK" w:cs="Times New Roman"/>
          <w:color w:val="auto"/>
          <w:sz w:val="32"/>
          <w:szCs w:val="32"/>
          <w:highlight w:val="none"/>
          <w:u w:val="none"/>
        </w:rPr>
        <w:t>对本行合并、分立、解散、清算或变更公司形式等事项做出决议；</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12.</w:t>
      </w:r>
      <w:r>
        <w:rPr>
          <w:rFonts w:hint="default" w:ascii="Times New Roman" w:hAnsi="Times New Roman" w:eastAsia="方正仿宋_GBK" w:cs="Times New Roman"/>
          <w:color w:val="auto"/>
          <w:sz w:val="32"/>
          <w:szCs w:val="32"/>
          <w:highlight w:val="none"/>
          <w:u w:val="none"/>
        </w:rPr>
        <w:t>修订本章程；</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13.</w:t>
      </w:r>
      <w:r>
        <w:rPr>
          <w:rFonts w:hint="default" w:ascii="Times New Roman" w:hAnsi="Times New Roman" w:eastAsia="方正仿宋_GBK" w:cs="Times New Roman"/>
          <w:color w:val="auto"/>
          <w:sz w:val="32"/>
          <w:szCs w:val="32"/>
          <w:highlight w:val="none"/>
          <w:u w:val="none"/>
        </w:rPr>
        <w:t>审议股东会提案；</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14.</w:t>
      </w:r>
      <w:r>
        <w:rPr>
          <w:rFonts w:hint="default" w:ascii="Times New Roman" w:hAnsi="Times New Roman" w:eastAsia="方正仿宋_GBK" w:cs="Times New Roman"/>
          <w:color w:val="auto"/>
          <w:sz w:val="32"/>
          <w:szCs w:val="32"/>
          <w:highlight w:val="none"/>
          <w:u w:val="none"/>
        </w:rPr>
        <w:t>决定聘请或解聘为本行审计的会计师事务所；</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15.</w:t>
      </w:r>
      <w:r>
        <w:rPr>
          <w:rFonts w:hint="default" w:ascii="Times New Roman" w:hAnsi="Times New Roman" w:eastAsia="方正仿宋_GBK" w:cs="Times New Roman"/>
          <w:color w:val="auto"/>
          <w:sz w:val="32"/>
          <w:szCs w:val="32"/>
          <w:highlight w:val="none"/>
          <w:u w:val="none"/>
        </w:rPr>
        <w:t>审议法律、行政法规、规章和规范性文件规定应当由股东会决定的其他事项。</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股东会决议不得违反法律、行政法规、规章、规范性文件和本章程的规定。</w:t>
      </w:r>
    </w:p>
    <w:p>
      <w:pPr>
        <w:pStyle w:val="14"/>
        <w:keepNext w:val="0"/>
        <w:keepLines w:val="0"/>
        <w:pageBreakBefore w:val="0"/>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对前款所列事项股东以书面形式一致表示同意的，可以不召开股东会会议，直接作出决定，并由全体股东在决定文件上签名、盖章。</w:t>
      </w:r>
    </w:p>
    <w:p>
      <w:pPr>
        <w:keepNext w:val="0"/>
        <w:keepLines w:val="0"/>
        <w:pageBreakBefore w:val="0"/>
        <w:numPr>
          <w:ilvl w:val="0"/>
          <w:numId w:val="3"/>
        </w:numPr>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rPr>
      </w:pPr>
      <w:r>
        <w:rPr>
          <w:rFonts w:hint="default" w:ascii="Times New Roman" w:hAnsi="Times New Roman" w:eastAsia="方正楷体_GBK" w:cs="Times New Roman"/>
          <w:b/>
          <w:bCs/>
          <w:color w:val="auto"/>
          <w:kern w:val="0"/>
          <w:sz w:val="32"/>
          <w:szCs w:val="32"/>
        </w:rPr>
        <w:t>执行董事</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本公司执行董事的工作职责包括但不限于以下几个方面：</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1.召集和主持股东会，并向股东会报告工作；</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2.执行股东会的决议；</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3.决定本行的经营计划，确定本行的经营发展战略；</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4.制订本行的年度财务预算方案、决算方案、利润分配方案、弥补亏损方案和风险资本分配方案，</w:t>
      </w:r>
      <w:r>
        <w:rPr>
          <w:rFonts w:hint="default" w:ascii="Times New Roman" w:hAnsi="Times New Roman" w:eastAsia="方正仿宋_GBK" w:cs="Times New Roman"/>
          <w:color w:val="auto"/>
          <w:sz w:val="32"/>
          <w:szCs w:val="32"/>
        </w:rPr>
        <w:t>根据资本与业务发展匹配状况，合理持续补充资本；</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5.制订本行增加或者减少注册资本方案；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6.制订本行合并、分立、解散、清算或变更公司形式的方案；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7.决定本行内部管理机构；</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8.决定聘任或者解聘本行高级管理层人员；</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9.审定本行的基本管理制度；</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10.监督本行高级管理层的履职情况，</w:t>
      </w:r>
      <w:r>
        <w:rPr>
          <w:rFonts w:hint="default" w:ascii="Times New Roman" w:hAnsi="Times New Roman" w:eastAsia="方正仿宋_GBK" w:cs="Times New Roman"/>
          <w:color w:val="auto"/>
          <w:sz w:val="32"/>
          <w:szCs w:val="32"/>
        </w:rPr>
        <w:t>要求高级管理层定期报告经营事项，</w:t>
      </w:r>
      <w:r>
        <w:rPr>
          <w:rFonts w:hint="default" w:ascii="Times New Roman" w:hAnsi="Times New Roman" w:eastAsia="方正仿宋_GBK" w:cs="Times New Roman"/>
          <w:color w:val="auto"/>
          <w:kern w:val="0"/>
          <w:sz w:val="32"/>
          <w:szCs w:val="32"/>
        </w:rPr>
        <w:t>并对经营状况进行评估，确保高级管理层有效履行管理职责；</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11.决定本行的风险管理和内部控制政策，</w:t>
      </w:r>
      <w:r>
        <w:rPr>
          <w:rFonts w:hint="default" w:ascii="Times New Roman" w:hAnsi="Times New Roman" w:eastAsia="方正仿宋_GBK" w:cs="Times New Roman"/>
          <w:color w:val="auto"/>
          <w:sz w:val="32"/>
          <w:szCs w:val="32"/>
        </w:rPr>
        <w:t>定期评估风险状况，确定风险限额</w:t>
      </w:r>
      <w:r>
        <w:rPr>
          <w:rFonts w:hint="default" w:ascii="Times New Roman" w:hAnsi="Times New Roman" w:eastAsia="方正仿宋_GBK" w:cs="Times New Roman"/>
          <w:color w:val="auto"/>
          <w:kern w:val="0"/>
          <w:sz w:val="32"/>
          <w:szCs w:val="32"/>
        </w:rPr>
        <w:t>；</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12.管理本行的信息披露，并对本行的会计和财务报告体系的完整性、准确性承担最终责任；</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13.负责定期评估并完善本行的公司治理状况；</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14.拟订本行回购</w:t>
      </w:r>
      <w:r>
        <w:rPr>
          <w:rFonts w:hint="default" w:ascii="Times New Roman" w:hAnsi="Times New Roman" w:eastAsia="方正仿宋_GBK" w:cs="Times New Roman"/>
          <w:color w:val="auto"/>
          <w:sz w:val="32"/>
          <w:szCs w:val="32"/>
        </w:rPr>
        <w:t>股权</w:t>
      </w:r>
      <w:r>
        <w:rPr>
          <w:rFonts w:hint="default" w:ascii="Times New Roman" w:hAnsi="Times New Roman" w:eastAsia="方正仿宋_GBK" w:cs="Times New Roman"/>
          <w:color w:val="auto"/>
          <w:kern w:val="0"/>
          <w:sz w:val="32"/>
          <w:szCs w:val="32"/>
        </w:rPr>
        <w:t>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15.制订本行公司章程的修改方案；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16.修订本行股东会议事规则和制定行长工作细则；</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17.在授权范围内签署文件；</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18.在发生特大自然灾害等不可抗力的紧急情况下，对本行事务行使符合法律规定和本行利益的特别处置权，并在事后向本行股东会报告；</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19.法律法规、行政规章、</w:t>
      </w:r>
      <w:r>
        <w:rPr>
          <w:rFonts w:hint="default" w:ascii="Times New Roman" w:hAnsi="Times New Roman" w:eastAsia="方正仿宋_GBK" w:cs="Times New Roman"/>
          <w:color w:val="auto"/>
          <w:kern w:val="0"/>
          <w:sz w:val="32"/>
          <w:szCs w:val="32"/>
          <w:lang w:eastAsia="zh-CN"/>
        </w:rPr>
        <w:t>公司</w:t>
      </w:r>
      <w:r>
        <w:rPr>
          <w:rFonts w:hint="default" w:ascii="Times New Roman" w:hAnsi="Times New Roman" w:eastAsia="方正仿宋_GBK" w:cs="Times New Roman"/>
          <w:color w:val="auto"/>
          <w:kern w:val="0"/>
          <w:sz w:val="32"/>
          <w:szCs w:val="32"/>
        </w:rPr>
        <w:t>章程规定的及本行股东会授予的其他职权。</w:t>
      </w:r>
    </w:p>
    <w:p>
      <w:pPr>
        <w:keepNext w:val="0"/>
        <w:keepLines w:val="0"/>
        <w:pageBreakBefore w:val="0"/>
        <w:numPr>
          <w:ilvl w:val="0"/>
          <w:numId w:val="3"/>
        </w:numPr>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rPr>
      </w:pPr>
      <w:r>
        <w:rPr>
          <w:rFonts w:hint="default" w:ascii="Times New Roman" w:hAnsi="Times New Roman" w:eastAsia="方正楷体_GBK" w:cs="Times New Roman"/>
          <w:b/>
          <w:bCs/>
          <w:color w:val="auto"/>
          <w:kern w:val="0"/>
          <w:sz w:val="32"/>
          <w:szCs w:val="32"/>
        </w:rPr>
        <w:t>监事会</w:t>
      </w:r>
    </w:p>
    <w:p>
      <w:pPr>
        <w:pStyle w:val="14"/>
        <w:keepNext w:val="0"/>
        <w:keepLines w:val="0"/>
        <w:pageBreakBefore w:val="0"/>
        <w:tabs>
          <w:tab w:val="left" w:pos="1418"/>
          <w:tab w:val="left" w:pos="1701"/>
        </w:tabs>
        <w:kinsoku/>
        <w:wordWrap/>
        <w:overflowPunct/>
        <w:topLinePunct w:val="0"/>
        <w:autoSpaceDE/>
        <w:autoSpaceDN/>
        <w:bidi w:val="0"/>
        <w:spacing w:line="580" w:lineRule="exact"/>
        <w:ind w:firstLine="64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本公司监事会的工作职责包括但不限于以下几个方面：</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1.监督执行董事确立稳健的经验理念、价值准则和制定符合本行实际的发展战略；</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2.定期对执行董事制定的发展战略的科学性、合理性和有效性进行评估，形成评估报告；</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3.对本行经营决策、风险管理和内部控制等进行监督检查并督促整改；</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4.对执行董事的选聘程序进行监督；</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5.对执行董事、监事和高级管理人员履职情况进行综合评价；</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6.对本行薪酬管理制度和政策及高级管理人员薪酬方案的科学性、合理性进行监督；</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7.定期与银行业监督管理机构沟通本行情况；</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8.当执行董事、高级管理人员的行为损害本行的利益时，要求执行董事、高级管理人员予以纠正；</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9.根据需要对执行董事和高级管理人员进行离任审计；</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10.对执行董事和高级管理人员进行质询，按照《公司法》的规定，对执行董事、高级管理人员提起诉讼；</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11.对执行董事决定的事项提出质询或者建议；认为必要时，可指派监事列席本行高级管理层会议；</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12.检查、监督本行的财务活动；</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13.核对执行董事拟提交股东会的财务报告、营业报告和利润分配方案等财务资料，发现疑问的，可以本行名义委托注册会计师、执业审计师帮助复审；</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14.监督本行的经营决策、风险管理和内部控制等；</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15.根据本章程的规定提议召开临时股东会，在执行董事不履行召集和主持股东会职责时召集和主持股东会；</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16.向股东会提出提案，向股东会作监事会报告；</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17.制订监事会议事规则的修订案；</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18.对违反法律、行政法规、</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章程或者股东会决议的执行董事、高级管理人员提出罢免的建议；</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19.法律、行政法规、规章、规范性文件及</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章程规定的其他职权。</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三、股东会召开情况</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报告期内，本公司共召开</w:t>
      </w:r>
      <w:r>
        <w:rPr>
          <w:rFonts w:hint="eastAsia"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rPr>
        <w:t>次股东会，审议并表决通过了</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福建石狮渝农商村镇银行有限责任公司关于股权转让的议案</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sz w:val="32"/>
          <w:szCs w:val="32"/>
          <w:lang w:val="en-US" w:eastAsia="zh-CN"/>
        </w:rPr>
        <w:t>福建石狮渝农商村镇银行有限责任公司202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年度执行董事工作报告》《福建石狮渝农商村镇银行有限责任公司202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年度监事会工作报告》、</w:t>
      </w:r>
      <w:r>
        <w:rPr>
          <w:rFonts w:hint="default" w:ascii="Times New Roman" w:hAnsi="Times New Roman" w:eastAsia="方正仿宋_GBK" w:cs="Times New Roman"/>
          <w:color w:val="auto"/>
          <w:sz w:val="32"/>
          <w:szCs w:val="32"/>
          <w:highlight w:val="none"/>
        </w:rPr>
        <w:t>《关于审议福建石狮渝农商村镇银行有限责任公司2022年度财务决算方案的议案》</w:t>
      </w:r>
      <w:r>
        <w:rPr>
          <w:rFonts w:hint="eastAsia" w:ascii="Times New Roman" w:hAnsi="Times New Roman" w:eastAsia="方正仿宋_GBK" w:cs="Times New Roman"/>
          <w:color w:val="auto"/>
          <w:sz w:val="32"/>
          <w:szCs w:val="32"/>
          <w:highlight w:val="none"/>
          <w:lang w:eastAsia="zh-CN"/>
        </w:rPr>
        <w:t>、《关于审议福建石狮渝农商村镇银行有限责任公司2023年度财务预算方案的议案》</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关于审议福建石狮渝农商村镇银行有限责任公司202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年利润分配方案的议案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关于审议福建石狮渝农商村镇银行有限责任公司 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年度绩效考核办法的议案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关于审议聘请福建石狮渝农商村镇银行有限责任公司202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年度会计师事务所的议案》、《福建石狮渝农商村镇银行有限责任公司202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年度关联交易报告》</w:t>
      </w:r>
      <w:r>
        <w:rPr>
          <w:rFonts w:hint="eastAsia" w:ascii="Times New Roman" w:hAnsi="Times New Roman" w:eastAsia="方正仿宋_GBK" w:cs="Times New Roman"/>
          <w:sz w:val="32"/>
          <w:szCs w:val="32"/>
          <w:lang w:val="en-US" w:eastAsia="zh-CN"/>
        </w:rPr>
        <w:t>、《关于审议福建石狮渝农商村镇银行有限责任公司股权转让的议案》等11个议案</w:t>
      </w:r>
      <w:r>
        <w:rPr>
          <w:rFonts w:hint="default"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四、监事的工作情况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报告期内，组织召开了监事会</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次。审</w:t>
      </w:r>
      <w:r>
        <w:rPr>
          <w:rFonts w:hint="default" w:ascii="Times New Roman" w:hAnsi="Times New Roman" w:eastAsia="方正仿宋_GBK" w:cs="Times New Roman"/>
          <w:color w:val="auto"/>
          <w:sz w:val="32"/>
          <w:szCs w:val="32"/>
          <w:highlight w:val="none"/>
          <w:lang w:eastAsia="zh-CN"/>
        </w:rPr>
        <w:t>议</w:t>
      </w:r>
      <w:r>
        <w:rPr>
          <w:rFonts w:hint="default" w:ascii="Times New Roman" w:hAnsi="Times New Roman" w:eastAsia="方正仿宋_GBK" w:cs="Times New Roman"/>
          <w:color w:val="auto"/>
          <w:sz w:val="32"/>
          <w:szCs w:val="32"/>
          <w:highlight w:val="none"/>
        </w:rPr>
        <w:t>并表决了《福建石狮渝农商村镇银行有限责任公司关于股权转让的议案》</w:t>
      </w:r>
      <w:r>
        <w:rPr>
          <w:rFonts w:hint="eastAsia" w:ascii="Times New Roman" w:hAnsi="Times New Roman" w:eastAsia="方正仿宋_GBK" w:cs="Times New Roman"/>
          <w:color w:val="auto"/>
          <w:sz w:val="32"/>
          <w:szCs w:val="32"/>
          <w:highlight w:val="none"/>
          <w:lang w:eastAsia="zh-CN"/>
        </w:rPr>
        <w:t>、《关联方信息汇总表》、</w:t>
      </w:r>
      <w:r>
        <w:rPr>
          <w:rFonts w:hint="default" w:ascii="Times New Roman" w:hAnsi="Times New Roman" w:eastAsia="方正仿宋_GBK" w:cs="Times New Roman"/>
          <w:color w:val="auto"/>
          <w:sz w:val="32"/>
          <w:szCs w:val="32"/>
          <w:highlight w:val="none"/>
        </w:rPr>
        <w:t>《监事长述职报告》、《股东监事述职报告》案、《职工监事述职报告》、《监事会考评》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《监事会对执行董事履职评价测评》、《监事会对高级管理层履职评价测评表》、《202</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年度监事会工作报告的议案》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《关于审议福建石狮渝农商村镇银行有限责任公司2022年度财务决算方案的议案》</w:t>
      </w:r>
      <w:r>
        <w:rPr>
          <w:rFonts w:hint="eastAsia" w:ascii="Times New Roman" w:hAnsi="Times New Roman" w:eastAsia="方正仿宋_GBK" w:cs="Times New Roman"/>
          <w:color w:val="auto"/>
          <w:sz w:val="32"/>
          <w:szCs w:val="32"/>
          <w:highlight w:val="none"/>
          <w:lang w:eastAsia="zh-CN"/>
        </w:rPr>
        <w:t>、《关于审议福建石狮渝农商村镇银行有限责任公司2023年度财务预算方案的议案》、《关于审议福建石狮渝农商村镇银行有限责任公司2022年度利润分配方案的议案》、《关于审议福建石狮渝农商村镇银行有限责任公司2023年度绩效考核方案的议案》、《关于审议聘请福建石狮渝农商村镇银行有限责任公司2023年度会计师事务所的议案》、《福建石狮渝农商村镇银行有限责任公司2022年度关联交易报告》、《关于审议福建石狮渝农商村镇银行有限责任公司股权转让的议案》、《石狮渝农商村镇银行2023年消费者保护权益专项审计报告》、《石狮渝农商村镇银行关于2023年上半年投诉处理工作情况的报告》、《关联方信息汇总表》、《石狮渝农商村镇银行2023年反洗钱专项审计报告》、《石狮渝农商村镇银行2023年征信业务专项审计报告》、《石狮渝农商村镇银行关于2023年案件风险排查汇总报告》</w:t>
      </w:r>
      <w:r>
        <w:rPr>
          <w:rFonts w:hint="eastAsia" w:ascii="Times New Roman" w:hAnsi="Times New Roman" w:eastAsia="方正仿宋_GBK" w:cs="Times New Roman"/>
          <w:color w:val="auto"/>
          <w:sz w:val="32"/>
          <w:szCs w:val="32"/>
          <w:highlight w:val="none"/>
          <w:lang w:val="en-US" w:eastAsia="zh-CN"/>
        </w:rPr>
        <w:t>等26个议案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对监事、执行董事、高级管理层及其成员20</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年度工作履职情况进行了评价考核。</w:t>
      </w:r>
      <w:r>
        <w:rPr>
          <w:rFonts w:hint="default" w:ascii="Times New Roman" w:hAnsi="Times New Roman" w:eastAsia="方正仿宋_GBK" w:cs="Times New Roman"/>
          <w:color w:val="auto"/>
          <w:sz w:val="32"/>
          <w:szCs w:val="32"/>
          <w:highlight w:val="none"/>
          <w:lang w:val="en-US" w:eastAsia="zh-CN"/>
        </w:rPr>
        <w:t>参会监事认真审议各项议案，独立发表意见，体现了较强的履职能力和责任心。</w:t>
      </w:r>
    </w:p>
    <w:p>
      <w:pPr>
        <w:keepNext w:val="0"/>
        <w:keepLines w:val="0"/>
        <w:pageBreakBefore w:val="0"/>
        <w:widowControl/>
        <w:numPr>
          <w:ilvl w:val="0"/>
          <w:numId w:val="2"/>
        </w:numPr>
        <w:kinsoku/>
        <w:wordWrap/>
        <w:overflowPunct/>
        <w:topLinePunct w:val="0"/>
        <w:autoSpaceDE/>
        <w:autoSpaceDN/>
        <w:bidi w:val="0"/>
        <w:spacing w:line="580" w:lineRule="exact"/>
        <w:ind w:left="0" w:leftChars="0" w:firstLine="640" w:firstLineChars="200"/>
        <w:jc w:val="both"/>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行长的工作情况</w:t>
      </w:r>
    </w:p>
    <w:p>
      <w:pPr>
        <w:overflowPunct w:val="0"/>
        <w:topLinePunct/>
        <w:spacing w:line="600" w:lineRule="exact"/>
        <w:ind w:firstLine="663" w:firstLineChars="200"/>
        <w:rPr>
          <w:rFonts w:ascii="方正楷体_GBK" w:hAnsi="方正楷体_GBK" w:eastAsia="方正楷体_GBK" w:cs="方正楷体_GBK"/>
          <w:b/>
          <w:sz w:val="33"/>
          <w:szCs w:val="33"/>
        </w:rPr>
      </w:pPr>
      <w:r>
        <w:rPr>
          <w:rFonts w:hint="eastAsia" w:ascii="方正楷体_GBK" w:hAnsi="方正楷体_GBK" w:eastAsia="方正楷体_GBK" w:cs="方正楷体_GBK"/>
          <w:b/>
          <w:sz w:val="33"/>
          <w:szCs w:val="33"/>
        </w:rPr>
        <w:t>（一）党建工作</w:t>
      </w:r>
    </w:p>
    <w:p>
      <w:pPr>
        <w:adjustRightInd w:val="0"/>
        <w:snapToGrid w:val="0"/>
        <w:spacing w:line="600" w:lineRule="exact"/>
        <w:ind w:firstLine="660"/>
        <w:rPr>
          <w:rFonts w:ascii="Times New Roman" w:hAnsi="Times New Roman" w:eastAsia="方正仿宋_GBK"/>
          <w:sz w:val="33"/>
          <w:szCs w:val="33"/>
        </w:rPr>
      </w:pPr>
      <w:r>
        <w:rPr>
          <w:rFonts w:hint="eastAsia" w:ascii="Times New Roman" w:hAnsi="Times New Roman" w:eastAsia="方正仿宋_GBK"/>
          <w:sz w:val="33"/>
          <w:szCs w:val="33"/>
        </w:rPr>
        <w:t>2023年以来，我作为石狮村行党支部抓基层党建</w:t>
      </w:r>
      <w:r>
        <w:rPr>
          <w:rFonts w:ascii="Times New Roman" w:hAnsi="Times New Roman" w:eastAsia="方正仿宋_GBK"/>
          <w:sz w:val="33"/>
          <w:szCs w:val="33"/>
        </w:rPr>
        <w:t>第一责任人，以习近平新时代中国特色社会主义思想为指导</w:t>
      </w:r>
      <w:r>
        <w:rPr>
          <w:rFonts w:hint="eastAsia" w:ascii="Times New Roman" w:hAnsi="Times New Roman" w:eastAsia="方正仿宋_GBK"/>
          <w:sz w:val="33"/>
          <w:szCs w:val="33"/>
        </w:rPr>
        <w:t>。</w:t>
      </w:r>
      <w:r>
        <w:rPr>
          <w:rFonts w:hint="eastAsia" w:ascii="Times New Roman" w:hAnsi="Times New Roman" w:eastAsia="方正仿宋_GBK"/>
          <w:b/>
          <w:bCs/>
          <w:sz w:val="33"/>
          <w:szCs w:val="33"/>
        </w:rPr>
        <w:t>一是</w:t>
      </w:r>
      <w:r>
        <w:rPr>
          <w:rFonts w:ascii="Times New Roman" w:hAnsi="Times New Roman" w:eastAsia="方正仿宋_GBK"/>
          <w:sz w:val="33"/>
          <w:szCs w:val="33"/>
        </w:rPr>
        <w:t>认真</w:t>
      </w:r>
      <w:r>
        <w:rPr>
          <w:rFonts w:hint="eastAsia" w:ascii="Times New Roman" w:hAnsi="Times New Roman" w:eastAsia="方正仿宋_GBK"/>
          <w:sz w:val="33"/>
          <w:szCs w:val="33"/>
        </w:rPr>
        <w:t>学习</w:t>
      </w:r>
      <w:r>
        <w:rPr>
          <w:rFonts w:ascii="Times New Roman" w:hAnsi="Times New Roman" w:eastAsia="方正仿宋_GBK"/>
          <w:sz w:val="33"/>
          <w:szCs w:val="33"/>
        </w:rPr>
        <w:t>习近平总书记</w:t>
      </w:r>
      <w:r>
        <w:rPr>
          <w:rFonts w:hint="eastAsia" w:ascii="Times New Roman" w:hAnsi="Times New Roman" w:eastAsia="方正仿宋_GBK"/>
          <w:sz w:val="33"/>
          <w:szCs w:val="33"/>
        </w:rPr>
        <w:t>和党中央重大决策部署，带头贯彻落实党的“二十大”及二十届二中全会精神，</w:t>
      </w:r>
      <w:r>
        <w:rPr>
          <w:rFonts w:ascii="Times New Roman" w:hAnsi="Times New Roman" w:eastAsia="方正仿宋_GBK"/>
          <w:sz w:val="33"/>
          <w:szCs w:val="33"/>
        </w:rPr>
        <w:t>树牢“四个意识”、坚定“四个自信”、坚决做到“两个维护”。</w:t>
      </w:r>
      <w:r>
        <w:rPr>
          <w:rFonts w:hint="eastAsia" w:ascii="Times New Roman" w:hAnsi="Times New Roman" w:eastAsia="方正仿宋_GBK"/>
          <w:b/>
          <w:bCs/>
          <w:sz w:val="33"/>
          <w:szCs w:val="33"/>
        </w:rPr>
        <w:t>二是</w:t>
      </w:r>
      <w:r>
        <w:rPr>
          <w:rFonts w:hint="eastAsia" w:ascii="Times New Roman" w:hAnsi="Times New Roman" w:eastAsia="方正仿宋_GBK"/>
          <w:sz w:val="33"/>
          <w:szCs w:val="33"/>
        </w:rPr>
        <w:t>严格落实党支部相关制度，认真开好党支部组织生活会，抓好党员民主评议工作，建立完善了重大事项请示报告清单，按规定向上级党组织报送重要事项</w:t>
      </w:r>
      <w:r>
        <w:rPr>
          <w:rFonts w:ascii="Times New Roman" w:hAnsi="Times New Roman" w:eastAsia="方正仿宋_GBK"/>
          <w:sz w:val="33"/>
          <w:szCs w:val="33"/>
        </w:rPr>
        <w:t>。</w:t>
      </w:r>
      <w:r>
        <w:rPr>
          <w:rFonts w:hint="eastAsia" w:ascii="Times New Roman" w:hAnsi="Times New Roman" w:eastAsia="方正仿宋_GBK"/>
          <w:b/>
          <w:bCs/>
          <w:sz w:val="33"/>
          <w:szCs w:val="33"/>
          <w:lang w:eastAsia="zh-CN"/>
        </w:rPr>
        <w:t>三</w:t>
      </w:r>
      <w:r>
        <w:rPr>
          <w:rFonts w:hint="eastAsia" w:ascii="Times New Roman" w:hAnsi="Times New Roman" w:eastAsia="方正仿宋_GBK"/>
          <w:b/>
          <w:bCs/>
          <w:sz w:val="33"/>
          <w:szCs w:val="33"/>
        </w:rPr>
        <w:t>是</w:t>
      </w:r>
      <w:r>
        <w:rPr>
          <w:rFonts w:hint="eastAsia" w:ascii="Times New Roman" w:hAnsi="Times New Roman" w:eastAsia="方正仿宋_GBK"/>
          <w:sz w:val="33"/>
          <w:szCs w:val="33"/>
        </w:rPr>
        <w:t>深入推进党建阵地建设，通过悬挂标语，建设红色读书角等方式，增进党员们的认同感和归属感，加强党员理论学习，完善基层党组织建设。</w:t>
      </w:r>
      <w:r>
        <w:rPr>
          <w:rFonts w:hint="eastAsia" w:ascii="Times New Roman" w:hAnsi="Times New Roman" w:eastAsia="方正仿宋_GBK"/>
          <w:b/>
          <w:bCs/>
          <w:sz w:val="33"/>
          <w:szCs w:val="33"/>
          <w:lang w:eastAsia="zh-CN"/>
        </w:rPr>
        <w:t>四</w:t>
      </w:r>
      <w:r>
        <w:rPr>
          <w:rFonts w:hint="eastAsia" w:ascii="Times New Roman" w:hAnsi="Times New Roman" w:eastAsia="方正仿宋_GBK"/>
          <w:b/>
          <w:bCs/>
          <w:sz w:val="33"/>
          <w:szCs w:val="33"/>
        </w:rPr>
        <w:t>是</w:t>
      </w:r>
      <w:r>
        <w:rPr>
          <w:rFonts w:hint="eastAsia" w:ascii="Times New Roman" w:hAnsi="Times New Roman" w:eastAsia="方正仿宋_GBK"/>
          <w:sz w:val="33"/>
          <w:szCs w:val="33"/>
        </w:rPr>
        <w:t>加强党员队伍发展、教育和管理工作，把党员培养成业务骨干，把业务骨干培养成党员。2023年共发展入党积极分子2人，发展党员1人。</w:t>
      </w:r>
    </w:p>
    <w:p>
      <w:pPr>
        <w:overflowPunct w:val="0"/>
        <w:topLinePunct/>
        <w:spacing w:line="600" w:lineRule="exact"/>
        <w:ind w:firstLine="663" w:firstLineChars="200"/>
        <w:rPr>
          <w:rFonts w:hint="eastAsia" w:ascii="方正楷体_GBK" w:hAnsi="方正楷体_GBK" w:eastAsia="方正楷体_GBK" w:cs="方正楷体_GBK"/>
          <w:b/>
          <w:sz w:val="33"/>
          <w:szCs w:val="33"/>
        </w:rPr>
      </w:pPr>
      <w:r>
        <w:rPr>
          <w:rFonts w:hint="eastAsia" w:ascii="方正楷体_GBK" w:hAnsi="方正楷体_GBK" w:eastAsia="方正楷体_GBK" w:cs="方正楷体_GBK"/>
          <w:b/>
          <w:sz w:val="33"/>
          <w:szCs w:val="33"/>
        </w:rPr>
        <w:t>（二）党风廉政建设工作</w:t>
      </w:r>
    </w:p>
    <w:p>
      <w:pPr>
        <w:adjustRightInd w:val="0"/>
        <w:snapToGrid w:val="0"/>
        <w:spacing w:line="600" w:lineRule="exact"/>
        <w:ind w:firstLine="660"/>
        <w:rPr>
          <w:rFonts w:hint="eastAsia" w:ascii="Times New Roman" w:hAnsi="Times New Roman" w:eastAsia="方正仿宋_GBK"/>
          <w:sz w:val="33"/>
          <w:szCs w:val="33"/>
        </w:rPr>
      </w:pPr>
      <w:r>
        <w:rPr>
          <w:rFonts w:hint="eastAsia" w:ascii="Times New Roman" w:hAnsi="Times New Roman" w:eastAsia="方正仿宋_GBK"/>
          <w:sz w:val="33"/>
          <w:szCs w:val="33"/>
        </w:rPr>
        <w:t>2023年以来，我严格落实党风廉政建设责任制，重点抓好突出问题专项治理、党风廉政宣传教育等工作。</w:t>
      </w:r>
      <w:r>
        <w:rPr>
          <w:rFonts w:hint="eastAsia" w:ascii="Times New Roman" w:hAnsi="Times New Roman" w:eastAsia="方正仿宋_GBK"/>
          <w:b/>
          <w:bCs/>
          <w:sz w:val="33"/>
          <w:szCs w:val="33"/>
        </w:rPr>
        <w:t>一是</w:t>
      </w:r>
      <w:r>
        <w:rPr>
          <w:rFonts w:hint="eastAsia" w:ascii="Times New Roman" w:hAnsi="Times New Roman" w:eastAsia="方正仿宋_GBK"/>
          <w:sz w:val="33"/>
          <w:szCs w:val="33"/>
        </w:rPr>
        <w:t>结合内外部违纪违法典型案例，深入开展“以案四说”警示教育，针对制度和监管漏洞扎实开展源头治理，一体推进不想腐、不能腐、不敢腐。</w:t>
      </w:r>
      <w:r>
        <w:rPr>
          <w:rFonts w:hint="eastAsia" w:ascii="Times New Roman" w:hAnsi="Times New Roman" w:eastAsia="方正仿宋_GBK"/>
          <w:b/>
          <w:bCs/>
          <w:sz w:val="33"/>
          <w:szCs w:val="33"/>
        </w:rPr>
        <w:t>二是</w:t>
      </w:r>
      <w:r>
        <w:rPr>
          <w:rFonts w:hint="eastAsia" w:ascii="Times New Roman" w:hAnsi="Times New Roman" w:eastAsia="方正仿宋_GBK"/>
          <w:sz w:val="33"/>
          <w:szCs w:val="33"/>
        </w:rPr>
        <w:t>持续举办了十一期“行长讲合规”专题讲座，充分利用谷文昌、廖俊波等优秀党员的模范事迹，浸入式、常态化进行宣传教育。</w:t>
      </w:r>
      <w:r>
        <w:rPr>
          <w:rFonts w:hint="eastAsia" w:ascii="Times New Roman" w:hAnsi="Times New Roman" w:eastAsia="方正仿宋_GBK"/>
          <w:b/>
          <w:bCs/>
          <w:sz w:val="33"/>
          <w:szCs w:val="33"/>
        </w:rPr>
        <w:t>三是</w:t>
      </w:r>
      <w:r>
        <w:rPr>
          <w:rFonts w:hint="eastAsia" w:ascii="Times New Roman" w:hAnsi="Times New Roman" w:eastAsia="方正仿宋_GBK"/>
          <w:sz w:val="33"/>
          <w:szCs w:val="33"/>
        </w:rPr>
        <w:t>教育员工常怀律己之心、常思贪欲之害、常修为政之德，时刻注意约束自己的行为，始终做到自尊、自警、自重、自爱、自律。</w:t>
      </w:r>
      <w:r>
        <w:rPr>
          <w:rFonts w:hint="eastAsia" w:ascii="Times New Roman" w:hAnsi="Times New Roman" w:eastAsia="方正仿宋_GBK"/>
          <w:b/>
          <w:bCs/>
          <w:sz w:val="33"/>
          <w:szCs w:val="33"/>
        </w:rPr>
        <w:t>四是</w:t>
      </w:r>
      <w:r>
        <w:rPr>
          <w:rFonts w:hint="eastAsia" w:ascii="Times New Roman" w:hAnsi="Times New Roman" w:eastAsia="方正仿宋_GBK"/>
          <w:sz w:val="33"/>
          <w:szCs w:val="33"/>
        </w:rPr>
        <w:t>要求党员领导干部严格落实中央“八项规定”精神，以钉钉子的态度驰而不息纠“四风”、树新风，确保了我行2023年全年未发生违纪违法问题。</w:t>
      </w:r>
    </w:p>
    <w:p>
      <w:pPr>
        <w:overflowPunct w:val="0"/>
        <w:topLinePunct/>
        <w:spacing w:line="600" w:lineRule="exact"/>
        <w:ind w:firstLine="663" w:firstLineChars="200"/>
        <w:rPr>
          <w:rFonts w:hint="eastAsia" w:ascii="方正楷体_GBK" w:hAnsi="方正楷体_GBK" w:eastAsia="方正楷体_GBK" w:cs="方正楷体_GBK"/>
          <w:b/>
          <w:sz w:val="33"/>
          <w:szCs w:val="33"/>
        </w:rPr>
      </w:pPr>
      <w:r>
        <w:rPr>
          <w:rFonts w:hint="eastAsia" w:ascii="方正楷体_GBK" w:hAnsi="方正楷体_GBK" w:eastAsia="方正楷体_GBK" w:cs="方正楷体_GBK"/>
          <w:b/>
          <w:sz w:val="33"/>
          <w:szCs w:val="33"/>
        </w:rPr>
        <w:t>（三）意识形态工作</w:t>
      </w:r>
    </w:p>
    <w:p>
      <w:pPr>
        <w:adjustRightInd w:val="0"/>
        <w:snapToGrid w:val="0"/>
        <w:spacing w:line="600" w:lineRule="exact"/>
        <w:ind w:firstLine="660"/>
        <w:rPr>
          <w:rFonts w:hint="eastAsia" w:ascii="Times New Roman" w:hAnsi="Times New Roman" w:eastAsia="方正仿宋_GBK"/>
          <w:sz w:val="33"/>
          <w:szCs w:val="33"/>
        </w:rPr>
      </w:pPr>
      <w:r>
        <w:rPr>
          <w:rFonts w:hint="eastAsia" w:ascii="Times New Roman" w:hAnsi="Times New Roman" w:eastAsia="方正仿宋_GBK"/>
          <w:sz w:val="33"/>
          <w:szCs w:val="33"/>
        </w:rPr>
        <w:t>2023年以来，我始终将意识形态工作放在突出位置，持续推动意识形态工作创新，建构具有思想吸引力和政治凝聚力的意识形态。</w:t>
      </w:r>
      <w:r>
        <w:rPr>
          <w:rFonts w:hint="eastAsia" w:ascii="Times New Roman" w:hAnsi="Times New Roman" w:eastAsia="方正仿宋_GBK"/>
          <w:b/>
          <w:bCs/>
          <w:sz w:val="33"/>
          <w:szCs w:val="33"/>
        </w:rPr>
        <w:t>一是</w:t>
      </w:r>
      <w:r>
        <w:rPr>
          <w:rFonts w:hint="eastAsia" w:ascii="Times New Roman" w:hAnsi="Times New Roman" w:eastAsia="方正仿宋_GBK"/>
          <w:sz w:val="33"/>
          <w:szCs w:val="33"/>
        </w:rPr>
        <w:t>制定支部年度学习计划和主题党日活动，集中学习习近平新时代中国特色社会主义思想和习近平书记系列重要讲话。</w:t>
      </w:r>
      <w:r>
        <w:rPr>
          <w:rFonts w:hint="eastAsia" w:ascii="Times New Roman" w:hAnsi="Times New Roman" w:eastAsia="方正仿宋_GBK"/>
          <w:b/>
          <w:bCs/>
          <w:sz w:val="33"/>
          <w:szCs w:val="33"/>
        </w:rPr>
        <w:t>二是</w:t>
      </w:r>
      <w:r>
        <w:rPr>
          <w:rFonts w:hint="eastAsia" w:ascii="Times New Roman" w:hAnsi="Times New Roman" w:eastAsia="方正仿宋_GBK"/>
          <w:sz w:val="33"/>
          <w:szCs w:val="33"/>
        </w:rPr>
        <w:t>深化拓展党史学习教育，巩固学习教育成果，深入学习“四史”等书目，分专题研讨党的“二十大”及二十届二中全会精神，通过多种形式让党的方针政策入脑入心。</w:t>
      </w:r>
      <w:r>
        <w:rPr>
          <w:rFonts w:hint="eastAsia" w:ascii="Times New Roman" w:hAnsi="Times New Roman" w:eastAsia="方正仿宋_GBK"/>
          <w:b/>
          <w:bCs/>
          <w:sz w:val="33"/>
          <w:szCs w:val="33"/>
        </w:rPr>
        <w:t>三是</w:t>
      </w:r>
      <w:r>
        <w:rPr>
          <w:rFonts w:hint="eastAsia" w:eastAsia="方正仿宋_GBK"/>
          <w:color w:val="0C0C0C"/>
          <w:sz w:val="32"/>
          <w:szCs w:val="32"/>
        </w:rPr>
        <w:t>开展学习贯彻习近平新时代中国特色社会主义思想主题教育专题读书班7期，组织党支部书记讲专题党课2次，开展组织生活会 1次，党员大会学习16次</w:t>
      </w:r>
      <w:r>
        <w:rPr>
          <w:rFonts w:hint="eastAsia" w:ascii="Times New Roman" w:hAnsi="Times New Roman" w:eastAsia="方正仿宋_GBK"/>
          <w:sz w:val="33"/>
          <w:szCs w:val="33"/>
        </w:rPr>
        <w:t>，组织党</w:t>
      </w:r>
      <w:r>
        <w:rPr>
          <w:rFonts w:hint="eastAsia" w:eastAsia="方正仿宋_GBK"/>
          <w:color w:val="0C0C0C"/>
          <w:sz w:val="32"/>
          <w:szCs w:val="32"/>
        </w:rPr>
        <w:t>员参观“八六”反围剿革命烈士纪念碑活动、参观“中国第一军庙”、联合中国人寿开展“清风狮城 廉行致远”等主题党日活动</w:t>
      </w:r>
      <w:r>
        <w:rPr>
          <w:rFonts w:hint="eastAsia" w:ascii="Times New Roman" w:hAnsi="Times New Roman" w:eastAsia="方正仿宋_GBK"/>
          <w:sz w:val="33"/>
          <w:szCs w:val="33"/>
        </w:rPr>
        <w:t>。</w:t>
      </w:r>
      <w:r>
        <w:rPr>
          <w:rFonts w:hint="eastAsia" w:ascii="Times New Roman" w:hAnsi="Times New Roman" w:eastAsia="方正仿宋_GBK"/>
          <w:b/>
          <w:bCs/>
          <w:sz w:val="33"/>
          <w:szCs w:val="33"/>
        </w:rPr>
        <w:t>四是</w:t>
      </w:r>
      <w:r>
        <w:rPr>
          <w:rFonts w:hint="eastAsia" w:ascii="Times New Roman" w:hAnsi="Times New Roman" w:eastAsia="方正仿宋_GBK"/>
          <w:sz w:val="33"/>
          <w:szCs w:val="33"/>
        </w:rPr>
        <w:t>积极开展正面宣传和舆情导控，及时总结提炼支部工作经验、特色、亮点，全年报送党建信息动态2篇。</w:t>
      </w:r>
      <w:r>
        <w:rPr>
          <w:rFonts w:hint="eastAsia" w:ascii="Times New Roman" w:hAnsi="Times New Roman" w:eastAsia="方正仿宋_GBK"/>
          <w:b/>
          <w:bCs/>
          <w:sz w:val="33"/>
          <w:szCs w:val="33"/>
        </w:rPr>
        <w:t>五是</w:t>
      </w:r>
      <w:r>
        <w:rPr>
          <w:rFonts w:hint="eastAsia" w:ascii="Times New Roman" w:hAnsi="Times New Roman" w:eastAsia="方正仿宋_GBK"/>
          <w:sz w:val="33"/>
          <w:szCs w:val="33"/>
        </w:rPr>
        <w:t>落实意识形态工作责任制，全年开展意识形态工作会6次，及时掌握员工思想动态，确保思想与行动与党中央保持高度一致。</w:t>
      </w:r>
    </w:p>
    <w:p>
      <w:pPr>
        <w:overflowPunct w:val="0"/>
        <w:topLinePunct/>
        <w:spacing w:line="600" w:lineRule="exact"/>
        <w:ind w:firstLine="663" w:firstLineChars="200"/>
        <w:rPr>
          <w:rFonts w:hint="eastAsia" w:ascii="方正楷体_GBK" w:hAnsi="方正楷体_GBK" w:eastAsia="方正楷体_GBK" w:cs="方正楷体_GBK"/>
          <w:b/>
          <w:sz w:val="33"/>
          <w:szCs w:val="33"/>
        </w:rPr>
      </w:pPr>
      <w:r>
        <w:rPr>
          <w:rFonts w:hint="eastAsia" w:ascii="方正楷体_GBK" w:hAnsi="方正楷体_GBK" w:eastAsia="方正楷体_GBK" w:cs="方正楷体_GBK"/>
          <w:b/>
          <w:sz w:val="33"/>
          <w:szCs w:val="33"/>
        </w:rPr>
        <w:t>（四）法治建设工作</w:t>
      </w:r>
    </w:p>
    <w:p>
      <w:pPr>
        <w:adjustRightInd w:val="0"/>
        <w:snapToGrid w:val="0"/>
        <w:spacing w:line="600" w:lineRule="exact"/>
        <w:ind w:firstLine="660"/>
        <w:rPr>
          <w:rFonts w:hint="eastAsia" w:ascii="Times New Roman" w:hAnsi="Times New Roman" w:eastAsia="方正仿宋_GBK"/>
          <w:sz w:val="33"/>
          <w:szCs w:val="33"/>
        </w:rPr>
      </w:pPr>
      <w:r>
        <w:rPr>
          <w:rFonts w:hint="eastAsia" w:ascii="Times New Roman" w:hAnsi="Times New Roman" w:eastAsia="方正仿宋_GBK"/>
          <w:b/>
          <w:bCs/>
          <w:sz w:val="33"/>
          <w:szCs w:val="33"/>
        </w:rPr>
        <w:t>一是</w:t>
      </w:r>
      <w:r>
        <w:rPr>
          <w:rFonts w:hint="eastAsia" w:ascii="Times New Roman" w:hAnsi="Times New Roman" w:eastAsia="方正仿宋_GBK"/>
          <w:sz w:val="33"/>
          <w:szCs w:val="33"/>
        </w:rPr>
        <w:t>坚持和加强党的全面领导，按照《中国共产党国有企业基层组织工作条例（试行）》和市属国企章程指引，印发了《石狮渝农商村镇银行党支部研究决定和前置研究讨论事项“两张清单”的通知》。</w:t>
      </w:r>
      <w:r>
        <w:rPr>
          <w:rFonts w:hint="eastAsia" w:ascii="Times New Roman" w:hAnsi="Times New Roman" w:eastAsia="方正仿宋_GBK"/>
          <w:b/>
          <w:bCs/>
          <w:sz w:val="33"/>
          <w:szCs w:val="33"/>
        </w:rPr>
        <w:t>二是</w:t>
      </w:r>
      <w:r>
        <w:rPr>
          <w:rFonts w:hint="eastAsia" w:ascii="Times New Roman" w:hAnsi="Times New Roman" w:eastAsia="方正仿宋_GBK"/>
          <w:sz w:val="33"/>
          <w:szCs w:val="33"/>
        </w:rPr>
        <w:t>严格执行“一把手”末位发言和回避等制度，严格执行“三重一大”决策制度，进一步完善监督制约的制度笼子。</w:t>
      </w:r>
      <w:r>
        <w:rPr>
          <w:rFonts w:hint="eastAsia" w:ascii="Times New Roman" w:hAnsi="Times New Roman" w:eastAsia="方正仿宋_GBK"/>
          <w:b/>
          <w:bCs/>
          <w:sz w:val="33"/>
          <w:szCs w:val="33"/>
        </w:rPr>
        <w:t>三是</w:t>
      </w:r>
      <w:r>
        <w:rPr>
          <w:rFonts w:hint="eastAsia" w:ascii="Times New Roman" w:hAnsi="Times New Roman" w:eastAsia="方正仿宋_GBK"/>
          <w:sz w:val="33"/>
          <w:szCs w:val="33"/>
        </w:rPr>
        <w:t>严格执行党章党规党纪和宪法法律法规，运用正反面事例，教育党员干部知法、懂法、依法办事。</w:t>
      </w:r>
    </w:p>
    <w:p>
      <w:pPr>
        <w:overflowPunct w:val="0"/>
        <w:topLinePunct/>
        <w:spacing w:line="600" w:lineRule="exact"/>
        <w:ind w:firstLine="663" w:firstLineChars="200"/>
        <w:rPr>
          <w:rFonts w:hint="eastAsia" w:ascii="Times New Roman" w:hAnsi="Times New Roman" w:eastAsia="方正仿宋_GBK"/>
          <w:sz w:val="33"/>
          <w:szCs w:val="33"/>
        </w:rPr>
      </w:pPr>
      <w:r>
        <w:rPr>
          <w:rFonts w:hint="eastAsia" w:ascii="方正楷体_GBK" w:hAnsi="方正楷体_GBK" w:eastAsia="方正楷体_GBK" w:cs="方正楷体_GBK"/>
          <w:b/>
          <w:sz w:val="33"/>
          <w:szCs w:val="33"/>
        </w:rPr>
        <w:t>（五）国企改革工作</w:t>
      </w:r>
    </w:p>
    <w:p>
      <w:pPr>
        <w:adjustRightInd w:val="0"/>
        <w:snapToGrid w:val="0"/>
        <w:spacing w:line="600" w:lineRule="exact"/>
        <w:ind w:firstLine="660"/>
        <w:rPr>
          <w:rFonts w:hint="eastAsia" w:ascii="Times New Roman" w:hAnsi="Times New Roman"/>
          <w:szCs w:val="32"/>
        </w:rPr>
      </w:pPr>
      <w:r>
        <w:rPr>
          <w:rFonts w:hint="eastAsia" w:ascii="Times New Roman" w:hAnsi="Times New Roman" w:eastAsia="方正仿宋_GBK"/>
          <w:sz w:val="33"/>
          <w:szCs w:val="33"/>
        </w:rPr>
        <w:t>2023年以来，为进一步深化国企改革，我坚持以习近平新时代中国特色社会主义思想为指导，立足新发展阶段，完整、准确、全面贯彻新发展理念，对标世界一流企业，提高我行的核心竞争力，提升发展质量效益。</w:t>
      </w:r>
      <w:r>
        <w:rPr>
          <w:rFonts w:hint="eastAsia" w:ascii="Times New Roman" w:hAnsi="Times New Roman" w:eastAsia="方正仿宋_GBK"/>
          <w:b/>
          <w:bCs/>
          <w:sz w:val="33"/>
          <w:szCs w:val="33"/>
        </w:rPr>
        <w:t>一是</w:t>
      </w:r>
      <w:r>
        <w:rPr>
          <w:rFonts w:hint="eastAsia" w:ascii="Times New Roman" w:hAnsi="Times New Roman" w:eastAsia="方正仿宋_GBK"/>
          <w:sz w:val="33"/>
          <w:szCs w:val="33"/>
        </w:rPr>
        <w:t>坚持对标一流。把对标作为出发点和立足点。结合实际情况，把握自身所处行业位置和发展阶段，瞄准行业先进企业为对标对象。</w:t>
      </w:r>
      <w:r>
        <w:rPr>
          <w:rFonts w:hint="eastAsia" w:ascii="Times New Roman" w:hAnsi="Times New Roman" w:eastAsia="方正仿宋_GBK"/>
          <w:b/>
          <w:bCs/>
          <w:sz w:val="33"/>
          <w:szCs w:val="33"/>
        </w:rPr>
        <w:t>二是</w:t>
      </w:r>
      <w:r>
        <w:rPr>
          <w:rFonts w:hint="eastAsia" w:ascii="Times New Roman" w:hAnsi="Times New Roman" w:eastAsia="方正仿宋_GBK"/>
          <w:sz w:val="33"/>
          <w:szCs w:val="33"/>
        </w:rPr>
        <w:t>坚持突出重点。突出系统谋划、强化体系支撑，把体系能力建设作为重点任务和关键内容。结合实际，实现价值创造与决策、执行、监督的全流程相结合，与生产经营的各领域相匹配，与我行管理的各环节相融合，确保价值创造行动取得实效。</w:t>
      </w:r>
      <w:r>
        <w:rPr>
          <w:rFonts w:hint="eastAsia" w:ascii="Times New Roman" w:hAnsi="Times New Roman" w:eastAsia="方正仿宋_GBK"/>
          <w:b/>
          <w:bCs/>
          <w:sz w:val="33"/>
          <w:szCs w:val="33"/>
        </w:rPr>
        <w:t>三是</w:t>
      </w:r>
      <w:r>
        <w:rPr>
          <w:rFonts w:hint="eastAsia" w:ascii="Times New Roman" w:hAnsi="Times New Roman" w:eastAsia="方正仿宋_GBK"/>
          <w:sz w:val="33"/>
          <w:szCs w:val="33"/>
        </w:rPr>
        <w:t>坚持问题导向。深入分析制约价值创造的因素，找准短板弱项，制定科学合理、精准高效的提升措施。通过对标提升，有效解决石狮村行存在的问题，以价值创造为关键抓手，扎实推动企业高质量发展。</w:t>
      </w:r>
    </w:p>
    <w:p>
      <w:pPr>
        <w:overflowPunct w:val="0"/>
        <w:topLinePunct/>
        <w:spacing w:line="600" w:lineRule="exact"/>
        <w:ind w:firstLine="663" w:firstLineChars="200"/>
        <w:rPr>
          <w:rFonts w:hint="eastAsia" w:ascii="Times New Roman" w:hAnsi="Times New Roman" w:eastAsia="方正仿宋_GBK"/>
          <w:sz w:val="33"/>
          <w:szCs w:val="33"/>
        </w:rPr>
      </w:pPr>
      <w:bookmarkStart w:id="2" w:name="OLE_LINK3"/>
      <w:r>
        <w:rPr>
          <w:rFonts w:hint="eastAsia" w:ascii="方正楷体_GBK" w:hAnsi="方正楷体_GBK" w:eastAsia="方正楷体_GBK" w:cs="方正楷体_GBK"/>
          <w:b/>
          <w:sz w:val="33"/>
          <w:szCs w:val="33"/>
          <w:lang w:eastAsia="zh-CN"/>
        </w:rPr>
        <w:t>（</w:t>
      </w:r>
      <w:r>
        <w:rPr>
          <w:rFonts w:hint="eastAsia" w:ascii="方正楷体_GBK" w:hAnsi="方正楷体_GBK" w:eastAsia="方正楷体_GBK" w:cs="方正楷体_GBK"/>
          <w:b/>
          <w:sz w:val="33"/>
          <w:szCs w:val="33"/>
          <w:lang w:val="en-US" w:eastAsia="zh-CN"/>
        </w:rPr>
        <w:t>六</w:t>
      </w:r>
      <w:r>
        <w:rPr>
          <w:rFonts w:hint="eastAsia" w:ascii="方正楷体_GBK" w:hAnsi="方正楷体_GBK" w:eastAsia="方正楷体_GBK" w:cs="方正楷体_GBK"/>
          <w:b/>
          <w:sz w:val="33"/>
          <w:szCs w:val="33"/>
          <w:lang w:eastAsia="zh-CN"/>
        </w:rPr>
        <w:t>）</w:t>
      </w:r>
      <w:r>
        <w:rPr>
          <w:rFonts w:hint="eastAsia" w:ascii="方正楷体_GBK" w:hAnsi="方正楷体_GBK" w:eastAsia="方正楷体_GBK" w:cs="方正楷体_GBK"/>
          <w:b/>
          <w:sz w:val="33"/>
          <w:szCs w:val="33"/>
        </w:rPr>
        <w:t>注重实干</w:t>
      </w:r>
      <w:bookmarkEnd w:id="2"/>
      <w:r>
        <w:rPr>
          <w:rFonts w:hint="eastAsia" w:ascii="方正楷体_GBK" w:hAnsi="方正楷体_GBK" w:eastAsia="方正楷体_GBK" w:cs="方正楷体_GBK"/>
          <w:b/>
          <w:sz w:val="33"/>
          <w:szCs w:val="33"/>
        </w:rPr>
        <w:t>，履职能力不断提升</w:t>
      </w:r>
      <w:r>
        <w:rPr>
          <w:rFonts w:hint="eastAsia" w:ascii="方正楷体_GBK" w:hAnsi="方正楷体_GBK" w:eastAsia="方正楷体_GBK" w:cs="方正楷体_GBK"/>
          <w:b/>
          <w:sz w:val="33"/>
          <w:szCs w:val="33"/>
          <w:lang w:eastAsia="zh-CN"/>
        </w:rPr>
        <w:t>。</w:t>
      </w:r>
      <w:r>
        <w:rPr>
          <w:rFonts w:hint="eastAsia" w:ascii="Times New Roman" w:hAnsi="Times New Roman" w:eastAsia="方正仿宋_GBK"/>
          <w:sz w:val="33"/>
          <w:szCs w:val="33"/>
        </w:rPr>
        <w:t>2023年，围绕发起行制定的工作目标，我注重实干，积极主动、有的放矢，在石狮区域经济增长不及预期的背景下力争最好结果。</w:t>
      </w:r>
      <w:r>
        <w:rPr>
          <w:rFonts w:hint="eastAsia" w:ascii="Times New Roman" w:hAnsi="Times New Roman" w:eastAsia="方正仿宋_GBK"/>
          <w:b/>
          <w:bCs/>
          <w:sz w:val="33"/>
          <w:szCs w:val="33"/>
        </w:rPr>
        <w:t>一是</w:t>
      </w:r>
      <w:r>
        <w:rPr>
          <w:rFonts w:hint="eastAsia" w:ascii="Times New Roman" w:hAnsi="Times New Roman" w:eastAsia="方正仿宋_GBK"/>
          <w:sz w:val="33"/>
          <w:szCs w:val="33"/>
        </w:rPr>
        <w:t>业务规模有进步。截至12月末，存款余额1.34亿元，比年初净增4865万元，增幅56%，存款增量居泉州地区7家村镇银行第二位，存款增幅居泉州地区7家村镇银行第一位。</w:t>
      </w:r>
      <w:r>
        <w:rPr>
          <w:rFonts w:hint="eastAsia" w:ascii="Times New Roman" w:hAnsi="Times New Roman" w:eastAsia="方正仿宋_GBK"/>
          <w:sz w:val="32"/>
          <w:szCs w:val="32"/>
        </w:rPr>
        <w:t>增存增贷有关情况得到泉州市地方金融监督管理局和泉州人民银行书面表扬。</w:t>
      </w:r>
      <w:r>
        <w:rPr>
          <w:rFonts w:hint="eastAsia" w:ascii="Times New Roman" w:hAnsi="Times New Roman" w:eastAsia="方正仿宋_GBK"/>
          <w:sz w:val="33"/>
          <w:szCs w:val="33"/>
        </w:rPr>
        <w:t>储蓄存款余额7940万元，比年初净增1943万元，增幅32%。全年累计投放各类贷款3.23亿元，贷款余额3.36亿元，比年初净增1901万元，增幅6%。</w:t>
      </w:r>
      <w:r>
        <w:rPr>
          <w:rFonts w:hint="eastAsia" w:ascii="Times New Roman" w:hAnsi="Times New Roman" w:eastAsia="方正仿宋_GBK"/>
          <w:b/>
          <w:bCs/>
          <w:sz w:val="33"/>
          <w:szCs w:val="33"/>
        </w:rPr>
        <w:t>二是</w:t>
      </w:r>
      <w:r>
        <w:rPr>
          <w:rFonts w:hint="eastAsia" w:ascii="Times New Roman" w:hAnsi="Times New Roman" w:eastAsia="方正仿宋_GBK"/>
          <w:sz w:val="33"/>
          <w:szCs w:val="33"/>
        </w:rPr>
        <w:t>经营质效有突破。截至12月末，日均存款余额9334万元，比年初净增1125万元，增幅13.7%。日均储蓄存款余额7077万元，比年初净增1468万元，增幅26%。日均贷款余额3.32亿元，比年初净增1490万元，增幅5%。全面完成了“两增两控”的监管指标，贷款增量居泉州地区7家村镇银行第四位，贷款规模居泉州地区村镇银行第四位。全年累计化解不良贷款82.91万元，不良贷款余额38.38万元、不良率0.11%，逾期率0.41%，不良率、逾期率始终控制在发起行目标之内。</w:t>
      </w:r>
      <w:r>
        <w:rPr>
          <w:rFonts w:hint="eastAsia" w:ascii="Times New Roman" w:hAnsi="Times New Roman" w:eastAsia="方正仿宋_GBK"/>
          <w:b/>
          <w:bCs/>
          <w:sz w:val="33"/>
          <w:szCs w:val="33"/>
        </w:rPr>
        <w:t>三是</w:t>
      </w:r>
      <w:r>
        <w:rPr>
          <w:rFonts w:hint="eastAsia" w:ascii="Times New Roman" w:hAnsi="Times New Roman" w:eastAsia="方正仿宋_GBK"/>
          <w:sz w:val="33"/>
          <w:szCs w:val="33"/>
        </w:rPr>
        <w:t>经营效益有提高。实现营业收入1514万元，账面净利润118万元，拨备前利润247万元。其中，贷款利息收入1488万元。此外，通过努力，确保村镇银行主要监管指标持续达标。</w:t>
      </w:r>
    </w:p>
    <w:p>
      <w:pPr>
        <w:overflowPunct w:val="0"/>
        <w:topLinePunct/>
        <w:spacing w:line="600" w:lineRule="exact"/>
        <w:ind w:firstLine="663" w:firstLineChars="200"/>
        <w:rPr>
          <w:rFonts w:ascii="Times New Roman" w:hAnsi="Times New Roman" w:eastAsia="方正仿宋_GBK"/>
          <w:sz w:val="33"/>
          <w:szCs w:val="33"/>
        </w:rPr>
      </w:pPr>
      <w:r>
        <w:rPr>
          <w:rFonts w:hint="eastAsia" w:ascii="方正楷体_GBK" w:hAnsi="方正楷体_GBK" w:eastAsia="方正楷体_GBK" w:cs="方正楷体_GBK"/>
          <w:b/>
          <w:sz w:val="33"/>
          <w:szCs w:val="33"/>
          <w:lang w:eastAsia="zh-CN"/>
        </w:rPr>
        <w:t>（</w:t>
      </w:r>
      <w:r>
        <w:rPr>
          <w:rFonts w:hint="eastAsia" w:ascii="方正楷体_GBK" w:hAnsi="方正楷体_GBK" w:eastAsia="方正楷体_GBK" w:cs="方正楷体_GBK"/>
          <w:b/>
          <w:sz w:val="33"/>
          <w:szCs w:val="33"/>
          <w:lang w:val="en-US" w:eastAsia="zh-CN"/>
        </w:rPr>
        <w:t>七</w:t>
      </w:r>
      <w:r>
        <w:rPr>
          <w:rFonts w:hint="eastAsia" w:ascii="方正楷体_GBK" w:hAnsi="方正楷体_GBK" w:eastAsia="方正楷体_GBK" w:cs="方正楷体_GBK"/>
          <w:b/>
          <w:sz w:val="33"/>
          <w:szCs w:val="33"/>
          <w:lang w:eastAsia="zh-CN"/>
        </w:rPr>
        <w:t>）</w:t>
      </w:r>
      <w:r>
        <w:rPr>
          <w:rFonts w:hint="eastAsia" w:ascii="方正楷体_GBK" w:hAnsi="方正楷体_GBK" w:eastAsia="方正楷体_GBK" w:cs="方正楷体_GBK"/>
          <w:b/>
          <w:sz w:val="33"/>
          <w:szCs w:val="33"/>
        </w:rPr>
        <w:t>注重谋划，切实承担管理责任</w:t>
      </w:r>
      <w:r>
        <w:rPr>
          <w:rFonts w:hint="eastAsia" w:ascii="方正楷体_GBK" w:hAnsi="方正楷体_GBK" w:eastAsia="方正楷体_GBK" w:cs="方正楷体_GBK"/>
          <w:b/>
          <w:sz w:val="33"/>
          <w:szCs w:val="33"/>
          <w:lang w:eastAsia="zh-CN"/>
        </w:rPr>
        <w:t>。</w:t>
      </w:r>
      <w:r>
        <w:rPr>
          <w:rFonts w:hint="eastAsia" w:ascii="Times New Roman" w:hAnsi="Times New Roman" w:eastAsia="方正仿宋_GBK"/>
          <w:sz w:val="33"/>
          <w:szCs w:val="33"/>
        </w:rPr>
        <w:t>2023年，在石狮村行主要负责人的岗位上，我注重谋划、科学分工、积极推进，全力应对泉州经济转型升级带来的巨大影响，切实承担起管理责任。</w:t>
      </w:r>
      <w:r>
        <w:rPr>
          <w:rFonts w:hint="eastAsia" w:ascii="Times New Roman" w:hAnsi="Times New Roman" w:eastAsia="方正仿宋_GBK"/>
          <w:b/>
          <w:bCs/>
          <w:sz w:val="33"/>
          <w:szCs w:val="33"/>
        </w:rPr>
        <w:t>一是</w:t>
      </w:r>
      <w:r>
        <w:rPr>
          <w:rFonts w:hint="eastAsia" w:ascii="Times New Roman" w:hAnsi="Times New Roman" w:eastAsia="方正仿宋_GBK"/>
          <w:sz w:val="33"/>
          <w:szCs w:val="33"/>
        </w:rPr>
        <w:t>完成股权变更。深入贯彻落实监管部门关于探索推动村镇银行兼并重组改革的有关意见，通过艰苦努力，主发起行受让7户其他股东股权，重庆农商行持股比例提升40个百分点至91%。同时，健全“两会一层”的公司架构，完善了股东会、执行董事、监事会和高级管理层构成的公司治理架构。</w:t>
      </w:r>
      <w:r>
        <w:rPr>
          <w:rFonts w:hint="eastAsia" w:ascii="Times New Roman" w:hAnsi="Times New Roman" w:eastAsia="方正仿宋_GBK"/>
          <w:b/>
          <w:bCs/>
          <w:sz w:val="33"/>
          <w:szCs w:val="33"/>
        </w:rPr>
        <w:t>二是</w:t>
      </w:r>
      <w:r>
        <w:rPr>
          <w:rFonts w:hint="eastAsia" w:ascii="Times New Roman" w:hAnsi="Times New Roman" w:eastAsia="方正仿宋_GBK"/>
          <w:sz w:val="33"/>
          <w:szCs w:val="33"/>
        </w:rPr>
        <w:t>坚持从严管行治行。扎实推进内控“提档升级”，全年检查发现问题83个，已整改81个，整改率98%。钉牢屡查屡犯，对违规行为依规处罚，全年开出罚单39人次、罚款0.65万元、调减绩效1.65万元，手持戒尺让员工心存敬畏、遵规守矩。</w:t>
      </w:r>
      <w:r>
        <w:rPr>
          <w:rFonts w:hint="eastAsia" w:ascii="Times New Roman" w:hAnsi="Times New Roman" w:eastAsia="方正仿宋_GBK"/>
          <w:b/>
          <w:bCs/>
          <w:sz w:val="33"/>
          <w:szCs w:val="33"/>
        </w:rPr>
        <w:t>三是</w:t>
      </w:r>
      <w:r>
        <w:rPr>
          <w:rFonts w:hint="eastAsia" w:ascii="Times New Roman" w:hAnsi="Times New Roman" w:eastAsia="方正仿宋_GBK"/>
          <w:sz w:val="33"/>
          <w:szCs w:val="33"/>
        </w:rPr>
        <w:t>不断加强队伍建设。对全行实行目标管理，建立竞争机制，让真正愿干事、想干事、能干事、干成事的人能够独当一面，悉心培养。全年共招聘1人，1名员工取得了注册会计师证书，1名员工评为石狮</w:t>
      </w:r>
      <w:r>
        <w:rPr>
          <w:rFonts w:hint="eastAsia" w:ascii="Times New Roman" w:hAnsi="Times New Roman" w:eastAsia="方正仿宋_GBK"/>
          <w:sz w:val="32"/>
          <w:szCs w:val="32"/>
        </w:rPr>
        <w:t>市银行业金融安全保卫工作先进个人，</w:t>
      </w:r>
      <w:r>
        <w:rPr>
          <w:rFonts w:hint="eastAsia" w:ascii="Times New Roman" w:hAnsi="Times New Roman" w:eastAsia="方正仿宋_GBK"/>
          <w:sz w:val="33"/>
          <w:szCs w:val="33"/>
        </w:rPr>
        <w:t>保证了队伍稳定和素质提升。</w:t>
      </w:r>
      <w:r>
        <w:rPr>
          <w:rFonts w:hint="eastAsia" w:ascii="Times New Roman" w:hAnsi="Times New Roman" w:eastAsia="方正仿宋_GBK"/>
          <w:b/>
          <w:bCs/>
          <w:sz w:val="33"/>
          <w:szCs w:val="33"/>
        </w:rPr>
        <w:t>四是</w:t>
      </w:r>
      <w:r>
        <w:rPr>
          <w:rFonts w:hint="eastAsia" w:ascii="Times New Roman" w:hAnsi="Times New Roman" w:eastAsia="方正仿宋_GBK"/>
          <w:sz w:val="33"/>
          <w:szCs w:val="33"/>
        </w:rPr>
        <w:t>切实防范信贷风险。在禁止“单身、离异、异地”客户准入的基础上，重点支持“80后、已婚、已育”客户，形成“三入三不入”。此外，我行持续压降存量大额贷款。截至2023年末，我行已无大额授信，牢牢坚守了市场定位。</w:t>
      </w:r>
      <w:r>
        <w:rPr>
          <w:rFonts w:hint="eastAsia" w:ascii="Times New Roman" w:hAnsi="Times New Roman" w:eastAsia="方正仿宋_GBK"/>
          <w:b/>
          <w:bCs/>
          <w:sz w:val="33"/>
          <w:szCs w:val="33"/>
        </w:rPr>
        <w:t>五是</w:t>
      </w:r>
      <w:r>
        <w:rPr>
          <w:rFonts w:hint="eastAsia" w:ascii="Times New Roman" w:hAnsi="Times New Roman" w:eastAsia="方正仿宋_GBK"/>
          <w:sz w:val="33"/>
          <w:szCs w:val="33"/>
        </w:rPr>
        <w:t>不断规范员工行为。坚持检查从严，扎实开展条线排查，对发起行案防排查和条线检查发现的问题，做到规范横向到边、纵向到底，不留死角。全员签订了《案防承诺书》，完善员工应急联系人和家庭成员经商名单，定期检查员工负债情况，强化员工行为管理。</w:t>
      </w:r>
      <w:r>
        <w:rPr>
          <w:rFonts w:hint="eastAsia" w:ascii="Times New Roman" w:hAnsi="Times New Roman" w:eastAsia="方正仿宋_GBK"/>
          <w:b/>
          <w:bCs/>
          <w:sz w:val="33"/>
          <w:szCs w:val="33"/>
        </w:rPr>
        <w:t>六是</w:t>
      </w:r>
      <w:r>
        <w:rPr>
          <w:rFonts w:hint="eastAsia" w:ascii="Times New Roman" w:hAnsi="Times New Roman" w:eastAsia="方正仿宋_GBK"/>
          <w:sz w:val="33"/>
          <w:szCs w:val="33"/>
        </w:rPr>
        <w:t>保障安全稳定运营。组织防盗、防火、防劫持、防挤兑等应急演练，强化员工应急处突能力。定期召开安全保卫联席会、贷后管理联席会、制度评审会等，全年未发生案件或事故，我行被评为石狮</w:t>
      </w:r>
      <w:r>
        <w:rPr>
          <w:rFonts w:hint="eastAsia" w:ascii="Times New Roman" w:hAnsi="Times New Roman" w:eastAsia="方正仿宋_GBK"/>
          <w:sz w:val="32"/>
          <w:szCs w:val="32"/>
        </w:rPr>
        <w:t>市银行业金融安全保卫工作先进集体，</w:t>
      </w:r>
      <w:r>
        <w:rPr>
          <w:rFonts w:hint="eastAsia" w:ascii="Times New Roman" w:hAnsi="Times New Roman" w:eastAsia="方正仿宋_GBK"/>
          <w:sz w:val="33"/>
          <w:szCs w:val="33"/>
        </w:rPr>
        <w:t>保障了安全稳健运营。</w:t>
      </w:r>
      <w:r>
        <w:rPr>
          <w:rFonts w:hint="eastAsia" w:ascii="Times New Roman" w:hAnsi="Times New Roman" w:eastAsia="方正仿宋_GBK"/>
          <w:b/>
          <w:bCs/>
          <w:sz w:val="33"/>
          <w:szCs w:val="33"/>
        </w:rPr>
        <w:t>七是</w:t>
      </w:r>
      <w:r>
        <w:rPr>
          <w:rFonts w:hint="eastAsia" w:ascii="Times New Roman" w:hAnsi="Times New Roman" w:eastAsia="方正仿宋_GBK"/>
          <w:sz w:val="33"/>
          <w:szCs w:val="33"/>
        </w:rPr>
        <w:t>推进企业文化建设。开展了“三八节”慰问、“七一”党建、革命教育基地参观等活动，建设了支部红色读书角，解决员工停车难题，提升了员工的凝聚力和向心力。此外，2023年7月，《人民日报》APP报道了石狮市委副书记、市政府市长余志伟一行赴我行调研指导的相关情况。</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highlight w:val="none"/>
        </w:rPr>
      </w:pPr>
      <w:r>
        <w:rPr>
          <w:rFonts w:hint="default" w:ascii="Times New Roman" w:hAnsi="Times New Roman" w:eastAsia="方正小标宋_GBK" w:cs="Times New Roman"/>
          <w:bCs/>
          <w:color w:val="auto"/>
          <w:kern w:val="0"/>
          <w:sz w:val="32"/>
          <w:szCs w:val="32"/>
          <w:highlight w:val="none"/>
        </w:rPr>
        <w:t>第七节</w:t>
      </w:r>
      <w:r>
        <w:rPr>
          <w:rFonts w:hint="default" w:ascii="Times New Roman" w:hAnsi="Times New Roman" w:eastAsia="方正小标宋_GBK" w:cs="Times New Roman"/>
          <w:bCs/>
          <w:color w:val="auto"/>
          <w:kern w:val="0"/>
          <w:sz w:val="32"/>
          <w:szCs w:val="32"/>
          <w:highlight w:val="none"/>
          <w:lang w:val="en-US" w:eastAsia="zh-CN"/>
        </w:rPr>
        <w:t xml:space="preserve"> </w:t>
      </w:r>
      <w:r>
        <w:rPr>
          <w:rFonts w:hint="default" w:ascii="Times New Roman" w:hAnsi="Times New Roman" w:eastAsia="方正小标宋_GBK" w:cs="Times New Roman"/>
          <w:bCs/>
          <w:color w:val="auto"/>
          <w:kern w:val="0"/>
          <w:sz w:val="32"/>
          <w:szCs w:val="32"/>
          <w:highlight w:val="none"/>
        </w:rPr>
        <w:t>公司主要业务情况</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一、本公司整体经营情况</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20</w:t>
      </w:r>
      <w:r>
        <w:rPr>
          <w:rFonts w:hint="default"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eastAsia="zh-CN"/>
        </w:rPr>
        <w:t>石狮</w:t>
      </w:r>
      <w:r>
        <w:rPr>
          <w:rFonts w:hint="default" w:ascii="Times New Roman" w:hAnsi="Times New Roman" w:eastAsia="方正仿宋_GBK" w:cs="Times New Roman"/>
          <w:color w:val="auto"/>
          <w:kern w:val="0"/>
          <w:sz w:val="32"/>
          <w:szCs w:val="32"/>
          <w:highlight w:val="none"/>
        </w:rPr>
        <w:t>渝农商村镇银行（以下简称“本行”）严格按照“支农支小”的市场定位，努力防范和化解金融风险，加大对实体经济支持力度，保持了持续稳健发展。报告期内本行主要经营情况如下：</w:t>
      </w:r>
    </w:p>
    <w:p>
      <w:pPr>
        <w:overflowPunct w:val="0"/>
        <w:topLinePunct/>
        <w:spacing w:line="600" w:lineRule="exact"/>
        <w:ind w:firstLine="660" w:firstLineChars="200"/>
        <w:rPr>
          <w:rFonts w:hint="eastAsia" w:ascii="Times New Roman" w:hAnsi="Times New Roman" w:eastAsia="方正仿宋_GBK"/>
          <w:sz w:val="33"/>
          <w:szCs w:val="33"/>
        </w:rPr>
      </w:pPr>
      <w:r>
        <w:rPr>
          <w:rFonts w:hint="eastAsia" w:ascii="Times New Roman" w:hAnsi="Times New Roman" w:eastAsia="方正仿宋_GBK"/>
          <w:sz w:val="33"/>
          <w:szCs w:val="33"/>
          <w:lang w:val="en-US" w:eastAsia="zh-CN"/>
        </w:rPr>
        <w:t>2023年，</w:t>
      </w:r>
      <w:r>
        <w:rPr>
          <w:rFonts w:hint="eastAsia" w:ascii="Times New Roman" w:hAnsi="Times New Roman" w:eastAsia="方正仿宋_GBK"/>
          <w:b/>
          <w:bCs/>
          <w:sz w:val="33"/>
          <w:szCs w:val="33"/>
        </w:rPr>
        <w:t>一是</w:t>
      </w:r>
      <w:r>
        <w:rPr>
          <w:rFonts w:hint="eastAsia" w:ascii="Times New Roman" w:hAnsi="Times New Roman" w:eastAsia="方正仿宋_GBK"/>
          <w:sz w:val="33"/>
          <w:szCs w:val="33"/>
        </w:rPr>
        <w:t>业务规模有进步。截至12月末，存款余额1.34亿元，比年初净增4865万元，增幅56%，存款增量居泉州地区7家村镇银行第二位，存款增幅居泉州地区7家村镇银行第一位。</w:t>
      </w:r>
      <w:r>
        <w:rPr>
          <w:rFonts w:hint="eastAsia" w:ascii="Times New Roman" w:hAnsi="Times New Roman" w:eastAsia="方正仿宋_GBK"/>
          <w:sz w:val="32"/>
          <w:szCs w:val="32"/>
        </w:rPr>
        <w:t>增存增贷有关情况得到泉州市地方金融监督管理局和泉州人民银行书面表扬。</w:t>
      </w:r>
      <w:r>
        <w:rPr>
          <w:rFonts w:hint="eastAsia" w:ascii="Times New Roman" w:hAnsi="Times New Roman" w:eastAsia="方正仿宋_GBK"/>
          <w:sz w:val="33"/>
          <w:szCs w:val="33"/>
        </w:rPr>
        <w:t>储蓄存款余额7940万元，比年初净增1943万元，增幅32%。全年累计投放各类贷款3.23亿元，贷款余额3.36亿元，比年初净增1901万元，增幅6%。</w:t>
      </w:r>
      <w:r>
        <w:rPr>
          <w:rFonts w:hint="eastAsia" w:ascii="Times New Roman" w:hAnsi="Times New Roman" w:eastAsia="方正仿宋_GBK"/>
          <w:b/>
          <w:bCs/>
          <w:sz w:val="33"/>
          <w:szCs w:val="33"/>
        </w:rPr>
        <w:t>二是</w:t>
      </w:r>
      <w:r>
        <w:rPr>
          <w:rFonts w:hint="eastAsia" w:ascii="Times New Roman" w:hAnsi="Times New Roman" w:eastAsia="方正仿宋_GBK"/>
          <w:sz w:val="33"/>
          <w:szCs w:val="33"/>
        </w:rPr>
        <w:t>经营质效有突破。截至12月末，日均存款余额9334万元，比年初净增1125万元，增幅13.7%。日均储蓄存款余额7077万元，比年初净增1468万元，增幅26%。日均贷款余额3.32亿元，比年初净增1490万元，增幅5%。全面完成了“两增两控”的监管指标，贷款增量居泉州地区7家村镇银行第四位，贷款规模居泉州地区村镇银行第四位。全年累计化解不良贷款82.91万元，不良贷款余额38.38万元、不良率0.11%，逾期率0.41%，不良率、逾期率始终控制在发起行目标之内。</w:t>
      </w:r>
      <w:r>
        <w:rPr>
          <w:rFonts w:hint="eastAsia" w:ascii="Times New Roman" w:hAnsi="Times New Roman" w:eastAsia="方正仿宋_GBK"/>
          <w:b/>
          <w:bCs/>
          <w:sz w:val="33"/>
          <w:szCs w:val="33"/>
        </w:rPr>
        <w:t>三是</w:t>
      </w:r>
      <w:r>
        <w:rPr>
          <w:rFonts w:hint="eastAsia" w:ascii="Times New Roman" w:hAnsi="Times New Roman" w:eastAsia="方正仿宋_GBK"/>
          <w:sz w:val="33"/>
          <w:szCs w:val="33"/>
        </w:rPr>
        <w:t>经营效益有提高。实现营业收入1514万元，账面净利润118万元，拨备前利润247万元。其中，贷款利息收入1488万元。此外，通过努力，确保村镇银行主要监管指标持续达标。</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二、支农支小业务开展情况</w:t>
      </w:r>
    </w:p>
    <w:p>
      <w:pPr>
        <w:spacing w:line="580" w:lineRule="exact"/>
        <w:rPr>
          <w:rFonts w:ascii="方正黑体_GBK" w:hAnsi="方正黑体_GBK" w:eastAsia="方正黑体_GBK" w:cs="方正黑体_GBK"/>
          <w:bCs/>
          <w:color w:val="auto"/>
          <w:kern w:val="0"/>
          <w:sz w:val="32"/>
          <w:szCs w:val="32"/>
          <w:highlight w:val="none"/>
        </w:rPr>
      </w:pPr>
      <w:r>
        <w:rPr>
          <w:rFonts w:hint="default" w:ascii="Times New Roman" w:hAnsi="Times New Roman" w:eastAsia="方正楷体_GBK" w:cs="Times New Roman"/>
          <w:b/>
          <w:bCs/>
          <w:color w:val="auto"/>
          <w:sz w:val="32"/>
          <w:szCs w:val="32"/>
          <w:highlight w:val="none"/>
          <w:lang w:val="zh-CN"/>
        </w:rPr>
        <w:t>（一）坚守市场定位</w:t>
      </w:r>
      <w:r>
        <w:rPr>
          <w:rFonts w:hint="default" w:ascii="Times New Roman" w:hAnsi="Times New Roman" w:eastAsia="方正仿宋_GBK" w:cs="Times New Roman"/>
          <w:color w:val="auto"/>
          <w:sz w:val="32"/>
          <w:szCs w:val="32"/>
          <w:highlight w:val="none"/>
          <w:lang w:val="zh-CN"/>
        </w:rPr>
        <w:t>。</w:t>
      </w:r>
      <w:r>
        <w:rPr>
          <w:rFonts w:hint="eastAsia" w:ascii="方正黑体_GBK" w:hAnsi="方正黑体_GBK" w:eastAsia="方正黑体_GBK" w:cs="方正黑体_GBK"/>
          <w:bCs/>
          <w:color w:val="auto"/>
          <w:kern w:val="0"/>
          <w:sz w:val="32"/>
          <w:szCs w:val="32"/>
          <w:highlight w:val="none"/>
        </w:rPr>
        <w:t>二、支农支小业务开展情况</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zh-CN"/>
        </w:rPr>
        <w:t>（一）坚守市场定位</w:t>
      </w:r>
      <w:r>
        <w:rPr>
          <w:rFonts w:hint="eastAsia"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sz w:val="32"/>
          <w:szCs w:val="32"/>
          <w:highlight w:val="none"/>
          <w:lang w:val="en-US" w:eastAsia="zh-CN"/>
        </w:rPr>
        <w:t>20</w:t>
      </w:r>
      <w:r>
        <w:rPr>
          <w:rFonts w:hint="eastAsia" w:ascii="Times New Roman" w:hAnsi="Times New Roman" w:eastAsia="方正仿宋_GBK" w:cs="Times New Roman"/>
          <w:sz w:val="32"/>
          <w:szCs w:val="32"/>
          <w:highlight w:val="none"/>
          <w:lang w:val="en-US" w:eastAsia="zh-CN"/>
        </w:rPr>
        <w:t>23</w:t>
      </w:r>
      <w:r>
        <w:rPr>
          <w:rFonts w:hint="default" w:ascii="Times New Roman" w:hAnsi="Times New Roman" w:eastAsia="方正仿宋_GBK" w:cs="Times New Roman"/>
          <w:sz w:val="32"/>
          <w:szCs w:val="32"/>
          <w:highlight w:val="none"/>
          <w:lang w:val="en-US" w:eastAsia="zh-CN"/>
        </w:rPr>
        <w:t>年，我行聚焦主业主责、突出支农支小、做小做散，在支持农户和小微企业、助力民营实体企业抗疫及复工复产及县域经济发展发挥了重要作用，已成为扎根县域、支农支小、服务三农及乡村振兴的生力军。截止20</w:t>
      </w:r>
      <w:r>
        <w:rPr>
          <w:rFonts w:hint="eastAsia" w:ascii="Times New Roman" w:hAnsi="Times New Roman" w:eastAsia="方正仿宋_GBK" w:cs="Times New Roman"/>
          <w:sz w:val="32"/>
          <w:szCs w:val="32"/>
          <w:highlight w:val="none"/>
          <w:lang w:val="en-US" w:eastAsia="zh-CN"/>
        </w:rPr>
        <w:t>23</w:t>
      </w:r>
      <w:r>
        <w:rPr>
          <w:rFonts w:hint="default" w:ascii="Times New Roman" w:hAnsi="Times New Roman" w:eastAsia="方正仿宋_GBK" w:cs="Times New Roman"/>
          <w:sz w:val="32"/>
          <w:szCs w:val="32"/>
          <w:highlight w:val="none"/>
          <w:lang w:val="en-US" w:eastAsia="zh-CN"/>
        </w:rPr>
        <w:t>年末，农户及小微贷款</w:t>
      </w:r>
      <w:r>
        <w:rPr>
          <w:rFonts w:hint="eastAsia" w:ascii="Times New Roman" w:hAnsi="Times New Roman" w:eastAsia="方正仿宋_GBK" w:cs="Times New Roman"/>
          <w:sz w:val="32"/>
          <w:szCs w:val="32"/>
          <w:highlight w:val="none"/>
          <w:lang w:val="en-US" w:eastAsia="zh-CN"/>
        </w:rPr>
        <w:t>31934万元</w:t>
      </w:r>
      <w:r>
        <w:rPr>
          <w:rFonts w:hint="default" w:ascii="Times New Roman" w:hAnsi="Times New Roman" w:eastAsia="方正仿宋_GBK" w:cs="Times New Roman"/>
          <w:sz w:val="32"/>
          <w:szCs w:val="32"/>
          <w:highlight w:val="none"/>
          <w:lang w:val="en-US" w:eastAsia="zh-CN"/>
        </w:rPr>
        <w:t>，占各项贷款</w:t>
      </w:r>
      <w:r>
        <w:rPr>
          <w:rFonts w:hint="eastAsia" w:ascii="Times New Roman" w:hAnsi="Times New Roman" w:eastAsia="方正仿宋_GBK" w:cs="Times New Roman"/>
          <w:sz w:val="32"/>
          <w:szCs w:val="32"/>
          <w:highlight w:val="none"/>
          <w:lang w:val="en-US" w:eastAsia="zh-CN"/>
        </w:rPr>
        <w:t>94.92%</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全年保持符合监管规定</w:t>
      </w:r>
      <w:r>
        <w:rPr>
          <w:rFonts w:hint="default" w:ascii="Times New Roman" w:hAnsi="Times New Roman" w:eastAsia="方正仿宋_GBK" w:cs="Times New Roman"/>
          <w:sz w:val="32"/>
          <w:szCs w:val="32"/>
          <w:highlight w:val="none"/>
          <w:lang w:val="en-US" w:eastAsia="zh-CN"/>
        </w:rPr>
        <w:t>，余额及增量占比都居中辖区内金融机构前列。经营性贷款余额</w:t>
      </w:r>
      <w:r>
        <w:rPr>
          <w:rFonts w:hint="eastAsia" w:ascii="Times New Roman" w:hAnsi="Times New Roman" w:eastAsia="方正仿宋_GBK" w:cs="Times New Roman"/>
          <w:sz w:val="32"/>
          <w:szCs w:val="32"/>
          <w:highlight w:val="none"/>
          <w:lang w:val="en-US" w:eastAsia="zh-CN"/>
        </w:rPr>
        <w:t>22756万元</w:t>
      </w:r>
      <w:r>
        <w:rPr>
          <w:rFonts w:hint="default" w:ascii="Times New Roman" w:hAnsi="Times New Roman" w:eastAsia="方正仿宋_GBK" w:cs="Times New Roman"/>
          <w:sz w:val="32"/>
          <w:szCs w:val="32"/>
          <w:highlight w:val="none"/>
          <w:lang w:val="en-US" w:eastAsia="zh-CN"/>
        </w:rPr>
        <w:t>，比年初增加</w:t>
      </w:r>
      <w:r>
        <w:rPr>
          <w:rFonts w:hint="eastAsia" w:ascii="Times New Roman" w:hAnsi="Times New Roman" w:eastAsia="方正仿宋_GBK" w:cs="Times New Roman"/>
          <w:sz w:val="32"/>
          <w:szCs w:val="32"/>
          <w:highlight w:val="none"/>
          <w:lang w:val="en-US" w:eastAsia="zh-CN"/>
        </w:rPr>
        <w:t>1486万元</w:t>
      </w:r>
      <w:r>
        <w:rPr>
          <w:rFonts w:hint="default" w:ascii="Times New Roman" w:hAnsi="Times New Roman" w:eastAsia="方正仿宋_GBK" w:cs="Times New Roman"/>
          <w:sz w:val="32"/>
          <w:szCs w:val="32"/>
          <w:highlight w:val="none"/>
          <w:lang w:val="en-US" w:eastAsia="zh-CN"/>
        </w:rPr>
        <w:t>；100万元以下贷款占比</w:t>
      </w:r>
      <w:r>
        <w:rPr>
          <w:rFonts w:hint="eastAsia" w:ascii="Times New Roman" w:hAnsi="Times New Roman"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lang w:val="en-US" w:eastAsia="zh-CN"/>
        </w:rPr>
        <w:t>%。全年新发放</w:t>
      </w:r>
      <w:r>
        <w:rPr>
          <w:rFonts w:hint="eastAsia" w:ascii="Times New Roman" w:hAnsi="Times New Roman" w:eastAsia="方正仿宋_GBK" w:cs="Times New Roman"/>
          <w:sz w:val="32"/>
          <w:szCs w:val="32"/>
          <w:highlight w:val="none"/>
          <w:lang w:val="en-US" w:eastAsia="zh-CN"/>
        </w:rPr>
        <w:t>普惠</w:t>
      </w:r>
      <w:r>
        <w:rPr>
          <w:rFonts w:hint="default" w:ascii="Times New Roman" w:hAnsi="Times New Roman" w:eastAsia="方正仿宋_GBK" w:cs="Times New Roman"/>
          <w:color w:val="auto"/>
          <w:sz w:val="32"/>
          <w:szCs w:val="32"/>
          <w:highlight w:val="none"/>
          <w:lang w:val="en-US" w:eastAsia="zh-CN"/>
        </w:rPr>
        <w:t>小微企业客户贷款利率同比降低</w:t>
      </w:r>
      <w:r>
        <w:rPr>
          <w:rFonts w:hint="eastAsia" w:ascii="Times New Roman" w:hAnsi="Times New Roman" w:eastAsia="方正仿宋_GBK" w:cs="Times New Roman"/>
          <w:color w:val="auto"/>
          <w:sz w:val="32"/>
          <w:szCs w:val="32"/>
          <w:highlight w:val="none"/>
          <w:lang w:val="en-US" w:eastAsia="zh-CN"/>
        </w:rPr>
        <w:t>0.5</w:t>
      </w:r>
      <w:r>
        <w:rPr>
          <w:rFonts w:hint="default" w:ascii="Times New Roman" w:hAnsi="Times New Roman" w:eastAsia="方正仿宋_GBK" w:cs="Times New Roman"/>
          <w:color w:val="auto"/>
          <w:sz w:val="32"/>
          <w:szCs w:val="32"/>
          <w:highlight w:val="none"/>
          <w:lang w:val="en-US" w:eastAsia="zh-CN"/>
        </w:rPr>
        <w:t>个百分点；为小微企业客户延期还本</w:t>
      </w:r>
      <w:r>
        <w:rPr>
          <w:rFonts w:hint="eastAsia" w:ascii="Times New Roman" w:hAnsi="Times New Roman" w:eastAsia="方正仿宋_GBK" w:cs="Times New Roman"/>
          <w:color w:val="auto"/>
          <w:sz w:val="32"/>
          <w:szCs w:val="32"/>
          <w:highlight w:val="none"/>
          <w:lang w:val="en-US" w:eastAsia="zh-CN"/>
        </w:rPr>
        <w:t>155</w:t>
      </w:r>
      <w:r>
        <w:rPr>
          <w:rFonts w:hint="default" w:ascii="Times New Roman" w:hAnsi="Times New Roman" w:eastAsia="方正仿宋_GBK" w:cs="Times New Roman"/>
          <w:color w:val="auto"/>
          <w:sz w:val="32"/>
          <w:szCs w:val="32"/>
          <w:highlight w:val="none"/>
          <w:lang w:val="en-US" w:eastAsia="zh-CN"/>
        </w:rPr>
        <w:t>户</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金额</w:t>
      </w:r>
      <w:r>
        <w:rPr>
          <w:rFonts w:hint="eastAsia" w:ascii="Times New Roman" w:hAnsi="Times New Roman" w:eastAsia="方正仿宋_GBK" w:cs="Times New Roman"/>
          <w:color w:val="auto"/>
          <w:sz w:val="32"/>
          <w:szCs w:val="32"/>
          <w:highlight w:val="none"/>
          <w:lang w:val="en-US" w:eastAsia="zh-CN"/>
        </w:rPr>
        <w:t>7536</w:t>
      </w:r>
      <w:r>
        <w:rPr>
          <w:rFonts w:hint="default" w:ascii="Times New Roman" w:hAnsi="Times New Roman" w:eastAsia="方正仿宋_GBK" w:cs="Times New Roman"/>
          <w:color w:val="auto"/>
          <w:sz w:val="32"/>
          <w:szCs w:val="32"/>
          <w:highlight w:val="none"/>
          <w:lang w:val="en-US" w:eastAsia="zh-CN"/>
        </w:rPr>
        <w:t>万元，让利近</w:t>
      </w:r>
      <w:r>
        <w:rPr>
          <w:rFonts w:hint="eastAsia" w:ascii="Times New Roman" w:hAnsi="Times New Roman" w:eastAsia="方正仿宋_GBK" w:cs="Times New Roman"/>
          <w:color w:val="auto"/>
          <w:sz w:val="32"/>
          <w:szCs w:val="32"/>
          <w:highlight w:val="none"/>
          <w:lang w:val="en-US" w:eastAsia="zh-CN"/>
        </w:rPr>
        <w:t>60</w:t>
      </w:r>
      <w:r>
        <w:rPr>
          <w:rFonts w:hint="default" w:ascii="Times New Roman" w:hAnsi="Times New Roman" w:eastAsia="方正仿宋_GBK" w:cs="Times New Roman"/>
          <w:color w:val="auto"/>
          <w:sz w:val="32"/>
          <w:szCs w:val="32"/>
          <w:highlight w:val="none"/>
          <w:lang w:val="en-US" w:eastAsia="zh-CN"/>
        </w:rPr>
        <w:t>万元。</w:t>
      </w:r>
      <w:r>
        <w:rPr>
          <w:rFonts w:hint="default" w:ascii="Times New Roman" w:hAnsi="Times New Roman" w:eastAsia="方正仿宋_GBK" w:cs="Times New Roman"/>
          <w:sz w:val="32"/>
          <w:szCs w:val="32"/>
          <w:highlight w:val="none"/>
          <w:lang w:val="en-US" w:eastAsia="zh-CN"/>
        </w:rPr>
        <w:t>两增两控、涉农贷款、经营性及中长期贷款占比、减费让利等定位及政策要求指标全部达标，社会责任担当尽职。</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方正楷体_GBK" w:cs="Times New Roman"/>
          <w:b/>
          <w:bCs/>
          <w:color w:val="auto"/>
          <w:sz w:val="32"/>
          <w:szCs w:val="32"/>
          <w:highlight w:val="none"/>
          <w:lang w:val="zh-CN"/>
        </w:rPr>
      </w:pPr>
      <w:r>
        <w:rPr>
          <w:rFonts w:hint="default" w:ascii="Times New Roman" w:hAnsi="Times New Roman" w:eastAsia="方正楷体_GBK" w:cs="Times New Roman"/>
          <w:b/>
          <w:bCs/>
          <w:color w:val="auto"/>
          <w:sz w:val="32"/>
          <w:szCs w:val="32"/>
          <w:highlight w:val="none"/>
          <w:lang w:val="zh-CN" w:eastAsia="zh-CN"/>
        </w:rPr>
        <w:t>（二）服务</w:t>
      </w:r>
      <w:r>
        <w:rPr>
          <w:rFonts w:hint="eastAsia" w:ascii="Times New Roman" w:hAnsi="Times New Roman" w:eastAsia="方正楷体_GBK" w:cs="Times New Roman"/>
          <w:b/>
          <w:bCs/>
          <w:color w:val="auto"/>
          <w:sz w:val="32"/>
          <w:szCs w:val="32"/>
          <w:highlight w:val="none"/>
          <w:lang w:val="zh-CN" w:eastAsia="zh-CN"/>
        </w:rPr>
        <w:t>小微企业</w:t>
      </w:r>
      <w:r>
        <w:rPr>
          <w:rFonts w:hint="default" w:ascii="Times New Roman" w:hAnsi="Times New Roman" w:eastAsia="方正楷体_GBK" w:cs="Times New Roman"/>
          <w:b/>
          <w:bCs/>
          <w:color w:val="auto"/>
          <w:sz w:val="32"/>
          <w:szCs w:val="32"/>
          <w:highlight w:val="none"/>
          <w:lang w:val="zh-CN" w:eastAsia="zh-CN"/>
        </w:rPr>
        <w:t>实体</w:t>
      </w:r>
      <w:r>
        <w:rPr>
          <w:rFonts w:hint="default" w:ascii="Times New Roman" w:hAnsi="Times New Roman" w:eastAsia="方正楷体_GBK" w:cs="Times New Roman"/>
          <w:b/>
          <w:bCs/>
          <w:color w:val="auto"/>
          <w:sz w:val="32"/>
          <w:szCs w:val="32"/>
          <w:highlight w:val="none"/>
          <w:lang w:val="zh-CN"/>
        </w:rPr>
        <w:t>经济。</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1.小微企业整体经营情况及发展趋势。</w:t>
      </w:r>
      <w:r>
        <w:rPr>
          <w:rFonts w:hint="default" w:ascii="Times New Roman" w:hAnsi="Times New Roman" w:eastAsia="方正仿宋_GBK" w:cs="Times New Roman"/>
          <w:sz w:val="32"/>
          <w:szCs w:val="32"/>
          <w:highlight w:val="none"/>
          <w:lang w:val="en-US" w:eastAsia="zh-CN"/>
        </w:rPr>
        <w:t>20</w:t>
      </w:r>
      <w:r>
        <w:rPr>
          <w:rFonts w:hint="eastAsia" w:ascii="Times New Roman" w:hAnsi="Times New Roman" w:eastAsia="方正仿宋_GBK" w:cs="Times New Roman"/>
          <w:sz w:val="32"/>
          <w:szCs w:val="32"/>
          <w:highlight w:val="none"/>
          <w:lang w:val="en-US" w:eastAsia="zh-CN"/>
        </w:rPr>
        <w:t>23</w:t>
      </w:r>
      <w:r>
        <w:rPr>
          <w:rFonts w:hint="default" w:ascii="Times New Roman" w:hAnsi="Times New Roman" w:eastAsia="方正仿宋_GBK" w:cs="Times New Roman"/>
          <w:sz w:val="32"/>
          <w:szCs w:val="32"/>
          <w:highlight w:val="none"/>
          <w:lang w:val="en-US" w:eastAsia="zh-CN"/>
        </w:rPr>
        <w:t>年，我行业聚焦主业主责、突出支农支小、做小做散，在支持小微企业及县域经济发展发挥了重要作用，已成为扎根县域、支农支小的生力军。我行专注服务小微企业经济实体的主要为业务发展部，截止20</w:t>
      </w:r>
      <w:r>
        <w:rPr>
          <w:rFonts w:hint="eastAsia" w:ascii="Times New Roman" w:hAnsi="Times New Roman" w:eastAsia="方正仿宋_GBK" w:cs="Times New Roman"/>
          <w:sz w:val="32"/>
          <w:szCs w:val="32"/>
          <w:highlight w:val="none"/>
          <w:lang w:val="en-US" w:eastAsia="zh-CN"/>
        </w:rPr>
        <w:t>23</w:t>
      </w:r>
      <w:r>
        <w:rPr>
          <w:rFonts w:hint="default" w:ascii="Times New Roman" w:hAnsi="Times New Roman" w:eastAsia="方正仿宋_GBK" w:cs="Times New Roman"/>
          <w:sz w:val="32"/>
          <w:szCs w:val="32"/>
          <w:highlight w:val="none"/>
          <w:lang w:val="en-US" w:eastAsia="zh-CN"/>
        </w:rPr>
        <w:t>年末普惠型小微贷款余额</w:t>
      </w:r>
      <w:r>
        <w:rPr>
          <w:rFonts w:hint="eastAsia" w:ascii="Times New Roman" w:hAnsi="Times New Roman" w:eastAsia="方正仿宋_GBK" w:cs="Times New Roman"/>
          <w:sz w:val="32"/>
          <w:szCs w:val="32"/>
          <w:highlight w:val="none"/>
          <w:lang w:val="en-US" w:eastAsia="zh-CN"/>
        </w:rPr>
        <w:t>22756</w:t>
      </w:r>
      <w:r>
        <w:rPr>
          <w:rFonts w:hint="default" w:ascii="Times New Roman" w:hAnsi="Times New Roman" w:eastAsia="方正仿宋_GBK" w:cs="Times New Roman"/>
          <w:sz w:val="32"/>
          <w:szCs w:val="32"/>
          <w:highlight w:val="none"/>
          <w:lang w:val="en-US" w:eastAsia="zh-CN"/>
        </w:rPr>
        <w:t>万元，较年初增长</w:t>
      </w:r>
      <w:r>
        <w:rPr>
          <w:rFonts w:hint="eastAsia" w:ascii="Times New Roman" w:hAnsi="Times New Roman" w:eastAsia="方正仿宋_GBK" w:cs="Times New Roman"/>
          <w:sz w:val="32"/>
          <w:szCs w:val="32"/>
          <w:highlight w:val="none"/>
          <w:lang w:val="en-US" w:eastAsia="zh-CN"/>
        </w:rPr>
        <w:t>1486万元</w:t>
      </w:r>
      <w:r>
        <w:rPr>
          <w:rFonts w:hint="default" w:ascii="Times New Roman" w:hAnsi="Times New Roman" w:eastAsia="方正仿宋_GBK" w:cs="Times New Roman"/>
          <w:sz w:val="32"/>
          <w:szCs w:val="32"/>
          <w:highlight w:val="none"/>
          <w:lang w:val="en-US" w:eastAsia="zh-CN"/>
        </w:rPr>
        <w:t>，增速为</w:t>
      </w:r>
      <w:r>
        <w:rPr>
          <w:rFonts w:hint="eastAsia" w:ascii="Times New Roman" w:hAnsi="Times New Roman" w:eastAsia="方正仿宋_GBK" w:cs="Times New Roman"/>
          <w:sz w:val="32"/>
          <w:szCs w:val="32"/>
          <w:highlight w:val="none"/>
          <w:lang w:val="en-US" w:eastAsia="zh-CN"/>
        </w:rPr>
        <w:t>6.99</w:t>
      </w:r>
      <w:r>
        <w:rPr>
          <w:rFonts w:hint="default" w:ascii="Times New Roman" w:hAnsi="Times New Roman" w:eastAsia="方正仿宋_GBK" w:cs="Times New Roman"/>
          <w:sz w:val="32"/>
          <w:szCs w:val="32"/>
          <w:highlight w:val="none"/>
          <w:lang w:val="en-US" w:eastAsia="zh-CN"/>
        </w:rPr>
        <w:t>%，其增速较各项贷款高</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%。小微企业客户</w:t>
      </w:r>
      <w:r>
        <w:rPr>
          <w:rFonts w:hint="eastAsia" w:ascii="Times New Roman" w:hAnsi="Times New Roman" w:eastAsia="方正仿宋_GBK" w:cs="Times New Roman"/>
          <w:sz w:val="32"/>
          <w:szCs w:val="32"/>
          <w:highlight w:val="none"/>
          <w:lang w:val="en-US" w:eastAsia="zh-CN"/>
        </w:rPr>
        <w:t>398</w:t>
      </w:r>
      <w:r>
        <w:rPr>
          <w:rFonts w:hint="default" w:ascii="Times New Roman" w:hAnsi="Times New Roman" w:eastAsia="方正仿宋_GBK" w:cs="Times New Roman"/>
          <w:sz w:val="32"/>
          <w:szCs w:val="32"/>
          <w:highlight w:val="none"/>
          <w:lang w:val="en-US" w:eastAsia="zh-CN"/>
        </w:rPr>
        <w:t>户，</w:t>
      </w:r>
      <w:r>
        <w:rPr>
          <w:rFonts w:hint="default" w:ascii="Times New Roman" w:hAnsi="Times New Roman" w:eastAsia="方正仿宋_GBK" w:cs="Times New Roman"/>
          <w:color w:val="000000"/>
          <w:sz w:val="32"/>
          <w:szCs w:val="32"/>
          <w:highlight w:val="none"/>
          <w:lang w:val="en-US" w:eastAsia="zh-CN"/>
        </w:rPr>
        <w:t>为小微企业客户延期还本</w:t>
      </w:r>
      <w:r>
        <w:rPr>
          <w:rFonts w:hint="eastAsia" w:ascii="Times New Roman" w:hAnsi="Times New Roman" w:eastAsia="方正仿宋_GBK" w:cs="Times New Roman"/>
          <w:color w:val="000000"/>
          <w:sz w:val="32"/>
          <w:szCs w:val="32"/>
          <w:highlight w:val="none"/>
          <w:lang w:val="en-US" w:eastAsia="zh-CN"/>
        </w:rPr>
        <w:t>155</w:t>
      </w:r>
      <w:r>
        <w:rPr>
          <w:rFonts w:hint="default" w:ascii="Times New Roman" w:hAnsi="Times New Roman" w:eastAsia="方正仿宋_GBK" w:cs="Times New Roman"/>
          <w:color w:val="000000"/>
          <w:sz w:val="32"/>
          <w:szCs w:val="32"/>
          <w:highlight w:val="none"/>
          <w:lang w:val="en-US" w:eastAsia="zh-CN"/>
        </w:rPr>
        <w:t>户</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金额</w:t>
      </w:r>
      <w:r>
        <w:rPr>
          <w:rFonts w:hint="eastAsia" w:ascii="Times New Roman" w:hAnsi="Times New Roman" w:eastAsia="方正仿宋_GBK" w:cs="Times New Roman"/>
          <w:color w:val="auto"/>
          <w:sz w:val="32"/>
          <w:szCs w:val="32"/>
          <w:highlight w:val="none"/>
          <w:lang w:val="en-US" w:eastAsia="zh-CN"/>
        </w:rPr>
        <w:t>7536</w:t>
      </w:r>
      <w:r>
        <w:rPr>
          <w:rFonts w:hint="default" w:ascii="Times New Roman" w:hAnsi="Times New Roman" w:eastAsia="方正仿宋_GBK" w:cs="Times New Roman"/>
          <w:color w:val="000000"/>
          <w:sz w:val="32"/>
          <w:szCs w:val="32"/>
          <w:highlight w:val="none"/>
          <w:lang w:val="en-US" w:eastAsia="zh-CN"/>
        </w:rPr>
        <w:t>万元，让利近</w:t>
      </w:r>
      <w:r>
        <w:rPr>
          <w:rFonts w:hint="eastAsia" w:ascii="Times New Roman" w:hAnsi="Times New Roman" w:eastAsia="方正仿宋_GBK" w:cs="Times New Roman"/>
          <w:color w:val="000000"/>
          <w:sz w:val="32"/>
          <w:szCs w:val="32"/>
          <w:highlight w:val="none"/>
          <w:lang w:val="en-US" w:eastAsia="zh-CN"/>
        </w:rPr>
        <w:t>60</w:t>
      </w:r>
      <w:r>
        <w:rPr>
          <w:rFonts w:hint="default" w:ascii="Times New Roman" w:hAnsi="Times New Roman" w:eastAsia="方正仿宋_GBK" w:cs="Times New Roman"/>
          <w:color w:val="000000"/>
          <w:sz w:val="32"/>
          <w:szCs w:val="32"/>
          <w:highlight w:val="none"/>
          <w:lang w:val="en-US" w:eastAsia="zh-CN"/>
        </w:rPr>
        <w:t>万元。</w:t>
      </w:r>
    </w:p>
    <w:p>
      <w:pPr>
        <w:numPr>
          <w:ilvl w:val="0"/>
          <w:numId w:val="0"/>
        </w:numPr>
        <w:spacing w:beforeLines="0" w:afterLines="0" w:line="600" w:lineRule="exact"/>
        <w:ind w:firstLine="643"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2.小微企业信贷政策及落实情况。</w:t>
      </w:r>
      <w:r>
        <w:rPr>
          <w:rFonts w:hint="default" w:ascii="Times New Roman" w:hAnsi="Times New Roman" w:eastAsia="方正仿宋_GBK" w:cs="Times New Roman"/>
          <w:color w:val="000000"/>
          <w:sz w:val="32"/>
          <w:szCs w:val="32"/>
          <w:highlight w:val="none"/>
        </w:rPr>
        <w:t>一是针对小微企业的资金需求的短、频、急，又无担保物的特点，</w:t>
      </w:r>
      <w:r>
        <w:rPr>
          <w:rFonts w:hint="eastAsia" w:ascii="Times New Roman" w:hAnsi="Times New Roman" w:eastAsia="方正仿宋_GBK" w:cs="Times New Roman"/>
          <w:color w:val="000000"/>
          <w:sz w:val="32"/>
          <w:szCs w:val="32"/>
          <w:highlight w:val="none"/>
          <w:lang w:eastAsia="zh-CN"/>
        </w:rPr>
        <w:t>优化</w:t>
      </w:r>
      <w:r>
        <w:rPr>
          <w:rFonts w:hint="default" w:ascii="Times New Roman" w:hAnsi="Times New Roman" w:eastAsia="方正仿宋_GBK" w:cs="Times New Roman"/>
          <w:color w:val="000000"/>
          <w:sz w:val="32"/>
          <w:szCs w:val="32"/>
          <w:highlight w:val="none"/>
        </w:rPr>
        <w:t>小企业便捷贷及发展贷款、个体经营户信用贷款、农村专业大户信用贷款、个人助业贷等贷款品种，有信用的、弱担保的，有期限长达10年的、可随借随还的，较好地满足了不同类型客户的融资需求。二是适度放宽抵质押担保物范围。适度接受以专用机器设备、土地经营权为贷款的抵质押担保物。</w:t>
      </w:r>
      <w:r>
        <w:rPr>
          <w:rFonts w:hint="eastAsia" w:ascii="Times New Roman" w:hAnsi="Times New Roman" w:eastAsia="方正仿宋_GBK" w:cs="Times New Roman"/>
          <w:color w:val="000000"/>
          <w:sz w:val="32"/>
          <w:szCs w:val="32"/>
          <w:highlight w:val="none"/>
          <w:lang w:eastAsia="zh-CN"/>
        </w:rPr>
        <w:t>三</w:t>
      </w:r>
      <w:r>
        <w:rPr>
          <w:rFonts w:hint="default" w:ascii="Times New Roman" w:hAnsi="Times New Roman" w:eastAsia="方正仿宋_GBK" w:cs="Times New Roman"/>
          <w:color w:val="000000"/>
          <w:sz w:val="32"/>
          <w:szCs w:val="32"/>
          <w:highlight w:val="none"/>
        </w:rPr>
        <w:t>是</w:t>
      </w:r>
      <w:r>
        <w:rPr>
          <w:rFonts w:hint="eastAsia" w:ascii="Times New Roman" w:hAnsi="Times New Roman" w:eastAsia="方正仿宋_GBK" w:cs="Times New Roman"/>
          <w:color w:val="000000"/>
          <w:sz w:val="32"/>
          <w:szCs w:val="32"/>
          <w:highlight w:val="none"/>
          <w:lang w:eastAsia="zh-CN"/>
        </w:rPr>
        <w:t>优化</w:t>
      </w:r>
      <w:r>
        <w:rPr>
          <w:rFonts w:hint="default" w:ascii="Times New Roman" w:hAnsi="Times New Roman" w:eastAsia="方正仿宋_GBK" w:cs="Times New Roman"/>
          <w:color w:val="000000"/>
          <w:sz w:val="32"/>
          <w:szCs w:val="32"/>
          <w:highlight w:val="none"/>
        </w:rPr>
        <w:t>中小微企业经营性贷款无还本续贷业务，有效解决中小微企业到期贷款资金紧张的困境</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四</w:t>
      </w:r>
      <w:r>
        <w:rPr>
          <w:rFonts w:hint="default" w:ascii="Times New Roman" w:hAnsi="Times New Roman" w:eastAsia="方正仿宋_GBK" w:cs="Times New Roman"/>
          <w:color w:val="000000"/>
          <w:sz w:val="32"/>
          <w:szCs w:val="32"/>
          <w:highlight w:val="none"/>
          <w:lang w:val="en-US" w:eastAsia="zh-CN"/>
        </w:rPr>
        <w:t>是始终秉承让客户少跑路，不跑路的原则，</w:t>
      </w:r>
      <w:r>
        <w:rPr>
          <w:rFonts w:hint="eastAsia" w:ascii="Times New Roman" w:hAnsi="Times New Roman" w:eastAsia="方正仿宋_GBK" w:cs="Times New Roman"/>
          <w:color w:val="000000"/>
          <w:sz w:val="32"/>
          <w:szCs w:val="32"/>
          <w:highlight w:val="none"/>
          <w:lang w:val="en-US" w:eastAsia="zh-CN"/>
        </w:rPr>
        <w:t>优化</w:t>
      </w:r>
      <w:r>
        <w:rPr>
          <w:rFonts w:hint="default" w:ascii="Times New Roman" w:hAnsi="Times New Roman" w:eastAsia="方正仿宋_GBK" w:cs="Times New Roman"/>
          <w:color w:val="000000"/>
          <w:sz w:val="32"/>
          <w:szCs w:val="32"/>
          <w:highlight w:val="none"/>
          <w:lang w:val="en-US" w:eastAsia="zh-CN"/>
        </w:rPr>
        <w:t>线上支用产品，截止12月末共计</w:t>
      </w:r>
      <w:r>
        <w:rPr>
          <w:rFonts w:hint="eastAsia" w:ascii="Times New Roman" w:hAnsi="Times New Roman" w:eastAsia="方正仿宋_GBK" w:cs="Times New Roman"/>
          <w:color w:val="000000"/>
          <w:sz w:val="32"/>
          <w:szCs w:val="32"/>
          <w:highlight w:val="none"/>
          <w:lang w:val="en-US" w:eastAsia="zh-CN"/>
        </w:rPr>
        <w:t>155</w:t>
      </w:r>
      <w:r>
        <w:rPr>
          <w:rFonts w:hint="default" w:ascii="Times New Roman" w:hAnsi="Times New Roman" w:eastAsia="方正仿宋_GBK" w:cs="Times New Roman"/>
          <w:color w:val="000000"/>
          <w:sz w:val="32"/>
          <w:szCs w:val="32"/>
          <w:highlight w:val="none"/>
          <w:lang w:val="en-US" w:eastAsia="zh-CN"/>
        </w:rPr>
        <w:t>名客户使用线上支用功能，涉及金额</w:t>
      </w:r>
      <w:r>
        <w:rPr>
          <w:rFonts w:hint="eastAsia" w:ascii="Times New Roman" w:hAnsi="Times New Roman" w:eastAsia="方正仿宋_GBK" w:cs="Times New Roman"/>
          <w:color w:val="000000"/>
          <w:sz w:val="32"/>
          <w:szCs w:val="32"/>
          <w:highlight w:val="none"/>
          <w:lang w:val="en-US" w:eastAsia="zh-CN"/>
        </w:rPr>
        <w:t>7521</w:t>
      </w:r>
      <w:r>
        <w:rPr>
          <w:rFonts w:hint="default" w:ascii="Times New Roman" w:hAnsi="Times New Roman" w:eastAsia="方正仿宋_GBK" w:cs="Times New Roman"/>
          <w:color w:val="000000"/>
          <w:sz w:val="32"/>
          <w:szCs w:val="32"/>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highlight w:val="none"/>
        </w:rPr>
      </w:pPr>
      <w:r>
        <w:rPr>
          <w:rFonts w:hint="default" w:ascii="Times New Roman" w:hAnsi="Times New Roman" w:eastAsia="方正仿宋_GBK" w:cs="Times New Roman"/>
          <w:b/>
          <w:bCs/>
          <w:color w:val="000000"/>
          <w:sz w:val="32"/>
          <w:szCs w:val="32"/>
          <w:highlight w:val="none"/>
          <w:lang w:val="en-US" w:eastAsia="zh-CN"/>
        </w:rPr>
        <w:t>3.小微企业融资环境变化情况。</w:t>
      </w:r>
      <w:r>
        <w:rPr>
          <w:rFonts w:hint="default" w:ascii="Times New Roman" w:hAnsi="Times New Roman" w:eastAsia="方正仿宋_GBK" w:cs="Times New Roman"/>
          <w:color w:val="000000"/>
          <w:sz w:val="32"/>
          <w:szCs w:val="32"/>
          <w:highlight w:val="none"/>
          <w:lang w:val="en-US" w:eastAsia="zh-CN"/>
        </w:rPr>
        <w:t>202</w:t>
      </w:r>
      <w:r>
        <w:rPr>
          <w:rFonts w:hint="eastAsia"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lang w:val="en-US" w:eastAsia="zh-CN"/>
        </w:rPr>
        <w:t>年小微企业融资环境变得宽松，我行小微企业融资利率呈下降0.5个百分点。</w:t>
      </w:r>
    </w:p>
    <w:p>
      <w:pPr>
        <w:widowControl/>
        <w:spacing w:line="360" w:lineRule="auto"/>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三、报告期末贷款“五级”分类情况</w:t>
      </w:r>
    </w:p>
    <w:p>
      <w:pPr>
        <w:widowControl/>
        <w:spacing w:line="360" w:lineRule="auto"/>
        <w:jc w:val="right"/>
        <w:rPr>
          <w:rFonts w:ascii="Times New Roman" w:hAnsi="Times New Roman" w:eastAsia="方正仿宋_GBK" w:cs="Times New Roman"/>
          <w:kern w:val="0"/>
          <w:szCs w:val="21"/>
        </w:rPr>
      </w:pPr>
      <w:r>
        <w:rPr>
          <w:rFonts w:ascii="Times New Roman" w:hAnsi="Times New Roman" w:eastAsia="方正仿宋_GBK" w:cs="Times New Roman"/>
          <w:kern w:val="0"/>
          <w:szCs w:val="21"/>
        </w:rPr>
        <w:t>单位：人民币、万元、%</w:t>
      </w:r>
    </w:p>
    <w:tbl>
      <w:tblPr>
        <w:tblStyle w:val="9"/>
        <w:tblW w:w="856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49"/>
        <w:gridCol w:w="2807"/>
        <w:gridCol w:w="31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3"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贷款五级分类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贷款余额</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占贷款总额比例%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正常类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33559.62</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99.75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关注类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44.99</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0.13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次级类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0.04</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可疑类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12.48</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0.04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损失类</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26.17</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0.08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1"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合计</w:t>
            </w:r>
          </w:p>
        </w:tc>
        <w:tc>
          <w:tcPr>
            <w:tcW w:w="28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33643.30</w:t>
            </w:r>
          </w:p>
        </w:tc>
        <w:tc>
          <w:tcPr>
            <w:tcW w:w="31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100</w:t>
            </w:r>
          </w:p>
        </w:tc>
      </w:tr>
    </w:tbl>
    <w:p>
      <w:pPr>
        <w:widowControl/>
        <w:spacing w:line="360" w:lineRule="auto"/>
        <w:jc w:val="right"/>
        <w:rPr>
          <w:rFonts w:ascii="Times New Roman" w:hAnsi="Times New Roman" w:eastAsia="方正仿宋_GBK" w:cs="Times New Roman"/>
          <w:kern w:val="0"/>
          <w:szCs w:val="21"/>
        </w:rPr>
      </w:pPr>
    </w:p>
    <w:p>
      <w:pPr>
        <w:widowControl/>
        <w:spacing w:line="360" w:lineRule="auto"/>
        <w:ind w:firstLine="640" w:firstLineChars="200"/>
        <w:rPr>
          <w:rFonts w:ascii="Times New Roman" w:hAnsi="Times New Roman" w:eastAsia="方正黑体_GBK" w:cs="Times New Roman"/>
          <w:b/>
          <w:bCs/>
          <w:kern w:val="0"/>
          <w:sz w:val="32"/>
          <w:szCs w:val="32"/>
        </w:rPr>
      </w:pPr>
      <w:r>
        <w:rPr>
          <w:rFonts w:ascii="Times New Roman" w:hAnsi="Times New Roman" w:eastAsia="方正黑体_GBK" w:cs="Times New Roman"/>
          <w:bCs/>
          <w:kern w:val="0"/>
          <w:sz w:val="32"/>
          <w:szCs w:val="32"/>
        </w:rPr>
        <w:t>四、贷款损失准备计提情况</w:t>
      </w:r>
    </w:p>
    <w:p>
      <w:pPr>
        <w:widowControl/>
        <w:spacing w:line="360" w:lineRule="auto"/>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报告期末，提取贷款损失准备余额共计965.03万元，贷款拨备率2.87%，拨备覆盖率2494.69%，优于监管要求。</w:t>
      </w:r>
    </w:p>
    <w:p>
      <w:pPr>
        <w:widowControl/>
        <w:spacing w:line="360" w:lineRule="auto"/>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五、报告期末，本公司重组贷款情况</w:t>
      </w:r>
    </w:p>
    <w:p>
      <w:pPr>
        <w:widowControl/>
        <w:spacing w:line="360" w:lineRule="auto"/>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仿宋_GBK" w:cs="Times New Roman"/>
          <w:kern w:val="0"/>
          <w:sz w:val="32"/>
          <w:szCs w:val="32"/>
        </w:rPr>
        <w:t>截止报告期末，我行无重组贷款。</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六、主要存款类别、日均余额</w:t>
      </w:r>
    </w:p>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单位：人民币、万元</w:t>
      </w:r>
    </w:p>
    <w:tbl>
      <w:tblPr>
        <w:tblStyle w:val="9"/>
        <w:tblW w:w="838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295"/>
        <w:gridCol w:w="3352"/>
        <w:gridCol w:w="27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5" w:hRule="atLeast"/>
        </w:trPr>
        <w:tc>
          <w:tcPr>
            <w:tcW w:w="22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类别</w:t>
            </w:r>
          </w:p>
        </w:tc>
        <w:tc>
          <w:tcPr>
            <w:tcW w:w="335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报告期末余额</w:t>
            </w:r>
          </w:p>
        </w:tc>
        <w:tc>
          <w:tcPr>
            <w:tcW w:w="273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日均余额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5" w:hRule="atLeast"/>
        </w:trPr>
        <w:tc>
          <w:tcPr>
            <w:tcW w:w="22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对公存款</w:t>
            </w:r>
          </w:p>
        </w:tc>
        <w:tc>
          <w:tcPr>
            <w:tcW w:w="335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lang w:val="en-US"/>
              </w:rPr>
            </w:pPr>
            <w:r>
              <w:rPr>
                <w:rFonts w:hint="eastAsia" w:ascii="Times New Roman" w:hAnsi="Times New Roman" w:eastAsia="方正仿宋_GBK" w:cs="Times New Roman"/>
                <w:bCs/>
                <w:color w:val="auto"/>
                <w:sz w:val="24"/>
                <w:szCs w:val="24"/>
                <w:highlight w:val="none"/>
                <w:lang w:val="en-US" w:eastAsia="zh-CN"/>
              </w:rPr>
              <w:t>5497.89</w:t>
            </w:r>
          </w:p>
        </w:tc>
        <w:tc>
          <w:tcPr>
            <w:tcW w:w="273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2258.65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9" w:hRule="atLeast"/>
        </w:trPr>
        <w:tc>
          <w:tcPr>
            <w:tcW w:w="22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个人存款</w:t>
            </w:r>
          </w:p>
        </w:tc>
        <w:tc>
          <w:tcPr>
            <w:tcW w:w="335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Cs/>
                <w:color w:val="auto"/>
                <w:kern w:val="2"/>
                <w:sz w:val="24"/>
                <w:szCs w:val="24"/>
                <w:highlight w:val="none"/>
                <w:lang w:val="en-US" w:eastAsia="zh-CN"/>
              </w:rPr>
            </w:pPr>
            <w:r>
              <w:rPr>
                <w:rFonts w:hint="eastAsia" w:ascii="Times New Roman" w:hAnsi="Times New Roman" w:eastAsia="方正仿宋_GBK" w:cs="Times New Roman"/>
                <w:bCs/>
                <w:color w:val="auto"/>
                <w:sz w:val="24"/>
                <w:szCs w:val="24"/>
                <w:highlight w:val="none"/>
                <w:lang w:val="en-US" w:eastAsia="zh-CN"/>
              </w:rPr>
              <w:t>7940.85</w:t>
            </w:r>
          </w:p>
        </w:tc>
        <w:tc>
          <w:tcPr>
            <w:tcW w:w="273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Cs/>
                <w:color w:val="auto"/>
                <w:kern w:val="2"/>
                <w:sz w:val="24"/>
                <w:szCs w:val="24"/>
                <w:highlight w:val="none"/>
                <w:lang w:val="en-US"/>
              </w:rPr>
            </w:pPr>
            <w:r>
              <w:rPr>
                <w:rFonts w:hint="eastAsia" w:ascii="Times New Roman" w:hAnsi="Times New Roman" w:eastAsia="方正仿宋_GBK" w:cs="Times New Roman"/>
                <w:bCs/>
                <w:color w:val="auto"/>
                <w:sz w:val="24"/>
                <w:szCs w:val="24"/>
                <w:highlight w:val="none"/>
                <w:lang w:val="en-US" w:eastAsia="zh-CN"/>
              </w:rPr>
              <w:t>7076.95</w:t>
            </w:r>
          </w:p>
        </w:tc>
      </w:tr>
    </w:tbl>
    <w:p>
      <w:pPr>
        <w:widowControl/>
        <w:spacing w:line="360" w:lineRule="auto"/>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七、主要贷款类别、日均余额及年均贷款利率</w:t>
      </w:r>
    </w:p>
    <w:p>
      <w:pPr>
        <w:widowControl/>
        <w:spacing w:line="360" w:lineRule="auto"/>
        <w:jc w:val="right"/>
        <w:rPr>
          <w:rFonts w:ascii="Times New Roman" w:hAnsi="Times New Roman" w:eastAsia="方正仿宋_GBK" w:cs="Times New Roman"/>
          <w:kern w:val="0"/>
          <w:szCs w:val="21"/>
        </w:rPr>
      </w:pPr>
      <w:r>
        <w:rPr>
          <w:rFonts w:ascii="Times New Roman" w:hAnsi="Times New Roman" w:eastAsia="方正仿宋_GBK" w:cs="Times New Roman"/>
          <w:kern w:val="0"/>
          <w:szCs w:val="21"/>
        </w:rPr>
        <w:t>单位：人民币、万元</w:t>
      </w:r>
    </w:p>
    <w:tbl>
      <w:tblPr>
        <w:tblStyle w:val="9"/>
        <w:tblW w:w="864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8"/>
        <w:gridCol w:w="2464"/>
        <w:gridCol w:w="2028"/>
        <w:gridCol w:w="24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类别</w:t>
            </w:r>
          </w:p>
        </w:tc>
        <w:tc>
          <w:tcPr>
            <w:tcW w:w="246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报告期末余额</w:t>
            </w:r>
          </w:p>
        </w:tc>
        <w:tc>
          <w:tcPr>
            <w:tcW w:w="20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月平均余额</w:t>
            </w:r>
          </w:p>
        </w:tc>
        <w:tc>
          <w:tcPr>
            <w:tcW w:w="24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平均贷款利率%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企业贷款</w:t>
            </w:r>
          </w:p>
        </w:tc>
        <w:tc>
          <w:tcPr>
            <w:tcW w:w="246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0</w:t>
            </w:r>
          </w:p>
        </w:tc>
        <w:tc>
          <w:tcPr>
            <w:tcW w:w="20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0</w:t>
            </w:r>
          </w:p>
        </w:tc>
        <w:tc>
          <w:tcPr>
            <w:tcW w:w="24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个人贷款</w:t>
            </w:r>
          </w:p>
        </w:tc>
        <w:tc>
          <w:tcPr>
            <w:tcW w:w="246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33643.3</w:t>
            </w:r>
          </w:p>
        </w:tc>
        <w:tc>
          <w:tcPr>
            <w:tcW w:w="20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33346.16</w:t>
            </w:r>
          </w:p>
        </w:tc>
        <w:tc>
          <w:tcPr>
            <w:tcW w:w="242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w:t>
            </w:r>
            <w:r>
              <w:rPr>
                <w:rFonts w:hint="eastAsia" w:ascii="Times New Roman" w:hAnsi="Times New Roman" w:eastAsia="方正仿宋_GBK" w:cs="Times New Roman"/>
                <w:kern w:val="0"/>
                <w:sz w:val="28"/>
                <w:szCs w:val="28"/>
              </w:rPr>
              <w:t>13</w:t>
            </w:r>
          </w:p>
        </w:tc>
      </w:tr>
    </w:tbl>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八、报告期末无逾期未偿付债务情况</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九、关联交易情况</w:t>
      </w:r>
    </w:p>
    <w:p>
      <w:pPr>
        <w:keepNext w:val="0"/>
        <w:keepLines w:val="0"/>
        <w:pageBreakBefore w:val="0"/>
        <w:widowControl/>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rPr>
        <w:t>（一）关联方关系。</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截至20</w:t>
      </w:r>
      <w:r>
        <w:rPr>
          <w:rFonts w:hint="default"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rPr>
        <w:t>年12月31日，本行与主发起行重庆农村商业银行存在关联交易。</w:t>
      </w:r>
    </w:p>
    <w:p>
      <w:pPr>
        <w:keepNext w:val="0"/>
        <w:keepLines w:val="0"/>
        <w:pageBreakBefore w:val="0"/>
        <w:widowControl/>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rPr>
        <w:t>（二）关联交易。</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主发起行同业存放资金：主发起行重庆农村商业银行为本行同业授信额度为</w:t>
      </w:r>
      <w:r>
        <w:rPr>
          <w:rFonts w:hint="eastAsia"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val="en-US" w:eastAsia="zh-CN"/>
        </w:rPr>
        <w:t>亿元。截至202</w:t>
      </w:r>
      <w:r>
        <w:rPr>
          <w:rFonts w:hint="eastAsia"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lang w:val="en-US" w:eastAsia="zh-CN"/>
        </w:rPr>
        <w:t>年12月31日止重庆农村商业银行存放本行存款余额为</w:t>
      </w:r>
      <w:r>
        <w:rPr>
          <w:rFonts w:hint="eastAsia"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val="en-US" w:eastAsia="zh-CN"/>
        </w:rPr>
        <w:t>0</w:t>
      </w:r>
      <w:r>
        <w:rPr>
          <w:rFonts w:hint="default" w:ascii="Times New Roman" w:hAnsi="Times New Roman" w:eastAsia="方正仿宋_GBK" w:cs="Times New Roman"/>
          <w:color w:val="auto"/>
          <w:kern w:val="0"/>
          <w:sz w:val="32"/>
          <w:szCs w:val="32"/>
          <w:highlight w:val="none"/>
          <w:lang w:val="en-US" w:eastAsia="zh-CN"/>
        </w:rPr>
        <w:t>万元。</w:t>
      </w:r>
    </w:p>
    <w:p>
      <w:pPr>
        <w:keepNext w:val="0"/>
        <w:keepLines w:val="0"/>
        <w:pageBreakBefore w:val="0"/>
        <w:widowControl/>
        <w:numPr>
          <w:ilvl w:val="0"/>
          <w:numId w:val="4"/>
        </w:numPr>
        <w:kinsoku/>
        <w:wordWrap/>
        <w:overflowPunct/>
        <w:topLinePunct w:val="0"/>
        <w:autoSpaceDE/>
        <w:autoSpaceDN/>
        <w:bidi w:val="0"/>
        <w:spacing w:line="580" w:lineRule="exact"/>
        <w:jc w:val="center"/>
        <w:rPr>
          <w:rFonts w:hint="default" w:ascii="Times New Roman" w:hAnsi="Times New Roman" w:eastAsia="方正黑体_GBK" w:cs="Times New Roman"/>
          <w:bCs/>
          <w:color w:val="auto"/>
          <w:sz w:val="32"/>
          <w:szCs w:val="32"/>
        </w:rPr>
      </w:pPr>
      <w:r>
        <w:rPr>
          <w:rFonts w:hint="default" w:ascii="Times New Roman" w:hAnsi="Times New Roman" w:eastAsia="方正小标宋_GBK" w:cs="Times New Roman"/>
          <w:bCs/>
          <w:color w:val="auto"/>
          <w:kern w:val="0"/>
          <w:sz w:val="32"/>
          <w:szCs w:val="32"/>
        </w:rPr>
        <w:t>全面风险管理情况</w:t>
      </w:r>
    </w:p>
    <w:p>
      <w:pPr>
        <w:tabs>
          <w:tab w:val="left" w:pos="0"/>
        </w:tabs>
        <w:adjustRightInd w:val="0"/>
        <w:snapToGrid w:val="0"/>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一、高级管理层对风险的监控能力</w:t>
      </w:r>
    </w:p>
    <w:p>
      <w:pPr>
        <w:tabs>
          <w:tab w:val="left" w:pos="0"/>
        </w:tabs>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高级管理层通过按季召开风险分析会议，全面分析我行信用风险、操作风险、流动性风险、声誉风险方面取得的成绩及存在的问题，并提出解决方案。按季开展信用风险、市场风险、流动性风险压力测试，扎实运用好全面风险管理技术。全年，我行未发生流动性风险、操作风险、声誉风险导致的不良影响及损失事件。</w:t>
      </w:r>
    </w:p>
    <w:p>
      <w:pPr>
        <w:tabs>
          <w:tab w:val="left" w:pos="0"/>
        </w:tabs>
        <w:adjustRightInd w:val="0"/>
        <w:snapToGrid w:val="0"/>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二、风险管理政策和程序</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年，我行认真贯彻监管部门、发起行相关风险管理要求，严格落实各项风险管控措施，严防各类风险。一是在发起行的指导下及时修订并印发了《202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年度风险偏好陈述书》，设定风险偏好值进行动态监测。二是严格落实贷款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制度，加强押品管理、授信管理、集中度管理，加大风险处置力度，严控信用风险。三是严格执行同业授信管理办法，加强流动性监测和头寸管理，切实防范流动性风险。四是开展各项风险排查、员工行为排查、强化责任追究和处理等方式防范操作风险。五是开展应急演练、强化员工培训、强化正面宣传及舆情监测等方式防范声誉风险。六是开展市场风险压力测试，强化市场环境分析，防范市场风险。</w:t>
      </w:r>
      <w:r>
        <w:rPr>
          <w:rFonts w:ascii="Times New Roman" w:hAnsi="Times New Roman" w:eastAsia="方正仿宋_GBK" w:cs="Times New Roman"/>
          <w:sz w:val="32"/>
          <w:szCs w:val="32"/>
          <w:highlight w:val="none"/>
        </w:rPr>
        <w:t>七是制定了《石狮渝农商银行计算机病毒防治实施细则》，通过定期开展防病毒、系统应急演练等方式防范科技信息风险。</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年，我行全面风险管理措施得当，效果较好，未发生严重的风险事件。</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年的风险偏好指标结果如下：</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208"/>
        <w:gridCol w:w="1855"/>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1486"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类型</w:t>
            </w: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指标名称</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目标</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restart"/>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总体风险偏好</w:t>
            </w: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资本充足率</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≥11.52%</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74.06%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snapToGrid w:val="0"/>
              <w:jc w:val="center"/>
              <w:rPr>
                <w:rFonts w:ascii="Times New Roman" w:hAnsi="Times New Roman" w:eastAsia="方正仿宋_GBK" w:cs="Times New Roman"/>
                <w:sz w:val="24"/>
                <w:szCs w:val="32"/>
              </w:rPr>
            </w:pP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一级资本充足率</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≥9.0%</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72.93%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snapToGrid w:val="0"/>
              <w:jc w:val="center"/>
              <w:rPr>
                <w:rFonts w:ascii="Times New Roman" w:hAnsi="Times New Roman" w:eastAsia="方正仿宋_GBK" w:cs="Times New Roman"/>
                <w:sz w:val="24"/>
                <w:szCs w:val="32"/>
              </w:rPr>
            </w:pP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杠杆率</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≥4.5%</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49.97%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snapToGrid w:val="0"/>
              <w:jc w:val="center"/>
              <w:rPr>
                <w:rFonts w:ascii="Times New Roman" w:hAnsi="Times New Roman" w:eastAsia="方正仿宋_GBK" w:cs="Times New Roman"/>
                <w:sz w:val="24"/>
                <w:szCs w:val="32"/>
              </w:rPr>
            </w:pP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总资产收益率（ROA）</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r>
              <w:rPr>
                <w:rFonts w:hint="eastAsia" w:ascii="Times New Roman" w:hAnsi="Times New Roman" w:eastAsia="方正仿宋_GBK" w:cs="Times New Roman"/>
                <w:sz w:val="24"/>
                <w:szCs w:val="32"/>
              </w:rPr>
              <w:t>60</w:t>
            </w:r>
            <w:r>
              <w:rPr>
                <w:rFonts w:ascii="Times New Roman" w:hAnsi="Times New Roman" w:eastAsia="方正仿宋_GBK" w:cs="Times New Roman"/>
                <w:sz w:val="24"/>
                <w:szCs w:val="32"/>
              </w:rPr>
              <w:t>%</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r>
              <w:rPr>
                <w:rFonts w:hint="eastAsia" w:ascii="Times New Roman" w:hAnsi="Times New Roman" w:eastAsia="方正仿宋_GBK" w:cs="Times New Roman"/>
                <w:sz w:val="24"/>
                <w:szCs w:val="32"/>
              </w:rPr>
              <w:t>3</w:t>
            </w:r>
            <w:r>
              <w:rPr>
                <w:rFonts w:ascii="Times New Roman" w:hAnsi="Times New Roman" w:eastAsia="方正仿宋_GBK" w:cs="Times New Roman"/>
                <w:sz w:val="24"/>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snapToGrid w:val="0"/>
              <w:jc w:val="center"/>
              <w:rPr>
                <w:rFonts w:ascii="Times New Roman" w:hAnsi="Times New Roman" w:eastAsia="方正仿宋_GBK" w:cs="Times New Roman"/>
                <w:sz w:val="24"/>
                <w:szCs w:val="32"/>
              </w:rPr>
            </w:pP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不良贷款率</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≤1.5%</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r>
              <w:rPr>
                <w:rFonts w:hint="eastAsia" w:ascii="Times New Roman" w:hAnsi="Times New Roman" w:eastAsia="方正仿宋_GBK" w:cs="Times New Roman"/>
                <w:sz w:val="24"/>
                <w:szCs w:val="32"/>
              </w:rPr>
              <w:t>11</w:t>
            </w:r>
            <w:r>
              <w:rPr>
                <w:rFonts w:ascii="Times New Roman" w:hAnsi="Times New Roman" w:eastAsia="方正仿宋_GBK" w:cs="Times New Roman"/>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restart"/>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信用风险偏好</w:t>
            </w: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逾期90天以上贷款与不良贷款的比重</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≤100%</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hint="eastAsia" w:ascii="Times New Roman" w:hAnsi="Times New Roman" w:eastAsia="方正仿宋_GBK" w:cs="Times New Roman"/>
                <w:sz w:val="24"/>
                <w:szCs w:val="32"/>
              </w:rPr>
              <w:t>100</w:t>
            </w:r>
            <w:r>
              <w:rPr>
                <w:rFonts w:ascii="Times New Roman" w:hAnsi="Times New Roman" w:eastAsia="方正仿宋_GBK" w:cs="Times New Roman"/>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snapToGrid w:val="0"/>
              <w:jc w:val="center"/>
              <w:rPr>
                <w:rFonts w:ascii="Times New Roman" w:hAnsi="Times New Roman" w:eastAsia="方正仿宋_GBK" w:cs="Times New Roman"/>
                <w:sz w:val="24"/>
                <w:szCs w:val="32"/>
              </w:rPr>
            </w:pP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逾期贷款率</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≤2%</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snapToGrid w:val="0"/>
              <w:jc w:val="center"/>
              <w:rPr>
                <w:rFonts w:ascii="Times New Roman" w:hAnsi="Times New Roman" w:eastAsia="方正仿宋_GBK" w:cs="Times New Roman"/>
                <w:sz w:val="24"/>
                <w:szCs w:val="32"/>
              </w:rPr>
            </w:pP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非同业单一客户贷款集中度</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≤9.5%</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r>
              <w:rPr>
                <w:rFonts w:hint="eastAsia" w:ascii="Times New Roman" w:hAnsi="Times New Roman" w:eastAsia="方正仿宋_GBK" w:cs="Times New Roman"/>
                <w:sz w:val="24"/>
                <w:szCs w:val="32"/>
              </w:rPr>
              <w:t>47</w:t>
            </w:r>
            <w:r>
              <w:rPr>
                <w:rFonts w:ascii="Times New Roman" w:hAnsi="Times New Roman" w:eastAsia="方正仿宋_GBK" w:cs="Times New Roman"/>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486" w:type="dxa"/>
            <w:vMerge w:val="continue"/>
            <w:shd w:val="clear" w:color="auto" w:fill="auto"/>
            <w:vAlign w:val="center"/>
          </w:tcPr>
          <w:p>
            <w:pPr>
              <w:snapToGrid w:val="0"/>
              <w:jc w:val="center"/>
              <w:rPr>
                <w:rFonts w:ascii="Times New Roman" w:hAnsi="Times New Roman" w:eastAsia="方正仿宋_GBK" w:cs="Times New Roman"/>
                <w:sz w:val="24"/>
                <w:szCs w:val="32"/>
              </w:rPr>
            </w:pP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同业集团客户风险暴露集中度</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≤24%</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snapToGrid w:val="0"/>
              <w:jc w:val="center"/>
              <w:rPr>
                <w:rFonts w:ascii="Times New Roman" w:hAnsi="Times New Roman" w:eastAsia="方正仿宋_GBK" w:cs="Times New Roman"/>
                <w:sz w:val="24"/>
                <w:szCs w:val="32"/>
              </w:rPr>
            </w:pP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单一集团关联客户集中度</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≤14%</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restart"/>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操作风险偏好</w:t>
            </w: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非信贷涉诉案件损失率</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≤万分之五</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snapToGrid w:val="0"/>
              <w:jc w:val="center"/>
              <w:rPr>
                <w:rFonts w:ascii="Times New Roman" w:hAnsi="Times New Roman" w:eastAsia="方正仿宋_GBK" w:cs="Times New Roman"/>
                <w:sz w:val="24"/>
                <w:szCs w:val="32"/>
              </w:rPr>
            </w:pP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重要业务非计划中断次数</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shd w:val="clear" w:color="auto" w:fill="auto"/>
            <w:vAlign w:val="center"/>
          </w:tcPr>
          <w:p>
            <w:pPr>
              <w:widowControl/>
              <w:spacing w:line="2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市场风险偏好</w:t>
            </w:r>
          </w:p>
        </w:tc>
        <w:tc>
          <w:tcPr>
            <w:tcW w:w="2208" w:type="dxa"/>
            <w:shd w:val="clear" w:color="auto" w:fill="auto"/>
            <w:vAlign w:val="center"/>
          </w:tcPr>
          <w:p>
            <w:pPr>
              <w:widowControl/>
              <w:spacing w:line="280" w:lineRule="exact"/>
              <w:jc w:val="left"/>
              <w:rPr>
                <w:rFonts w:ascii="Times New Roman" w:hAnsi="Times New Roman" w:eastAsia="方正仿宋_GBK" w:cs="Times New Roman"/>
                <w:sz w:val="24"/>
                <w:szCs w:val="32"/>
              </w:rPr>
            </w:pPr>
            <w:r>
              <w:rPr>
                <w:rFonts w:ascii="Times New Roman" w:hAnsi="Times New Roman" w:eastAsia="方正仿宋_GBK" w:cs="Times New Roman"/>
                <w:sz w:val="24"/>
                <w:szCs w:val="32"/>
              </w:rPr>
              <w:t>净息差（NIM）</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≥3.</w:t>
            </w:r>
            <w:r>
              <w:rPr>
                <w:rFonts w:hint="eastAsia" w:ascii="Times New Roman" w:hAnsi="Times New Roman" w:eastAsia="方正仿宋_GBK" w:cs="Times New Roman"/>
                <w:sz w:val="24"/>
                <w:szCs w:val="32"/>
              </w:rPr>
              <w:t>2</w:t>
            </w:r>
            <w:r>
              <w:rPr>
                <w:rFonts w:ascii="Times New Roman" w:hAnsi="Times New Roman" w:eastAsia="方正仿宋_GBK" w:cs="Times New Roman"/>
                <w:sz w:val="24"/>
                <w:szCs w:val="32"/>
              </w:rPr>
              <w:t>%</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3.</w:t>
            </w:r>
            <w:r>
              <w:rPr>
                <w:rFonts w:hint="eastAsia" w:ascii="Times New Roman" w:hAnsi="Times New Roman" w:eastAsia="方正仿宋_GBK" w:cs="Times New Roman"/>
                <w:sz w:val="24"/>
                <w:szCs w:val="32"/>
              </w:rPr>
              <w:t>11</w:t>
            </w:r>
            <w:r>
              <w:rPr>
                <w:rFonts w:ascii="Times New Roman" w:hAnsi="Times New Roman" w:eastAsia="方正仿宋_GBK" w:cs="Times New Roman"/>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486"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流动性风险偏好</w:t>
            </w:r>
          </w:p>
        </w:tc>
        <w:tc>
          <w:tcPr>
            <w:tcW w:w="2208"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流动性比例</w:t>
            </w:r>
          </w:p>
        </w:tc>
        <w:tc>
          <w:tcPr>
            <w:tcW w:w="1855"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≥30%</w:t>
            </w:r>
          </w:p>
        </w:tc>
        <w:tc>
          <w:tcPr>
            <w:tcW w:w="2747" w:type="dxa"/>
            <w:shd w:val="clear" w:color="auto" w:fill="auto"/>
            <w:vAlign w:val="center"/>
          </w:tcPr>
          <w:p>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101.51%</w:t>
            </w:r>
          </w:p>
        </w:tc>
      </w:tr>
    </w:tbl>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三、风险计量、检测和管理信息系统</w:t>
      </w:r>
    </w:p>
    <w:p>
      <w:pPr>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依托发起行的信贷</w:t>
      </w:r>
      <w:r>
        <w:rPr>
          <w:rFonts w:hint="eastAsia" w:ascii="Times New Roman" w:hAnsi="Times New Roman" w:eastAsia="方正仿宋_GBK" w:cs="Times New Roman"/>
          <w:bCs/>
          <w:sz w:val="32"/>
          <w:szCs w:val="32"/>
        </w:rPr>
        <w:t>与投资</w:t>
      </w:r>
      <w:r>
        <w:rPr>
          <w:rFonts w:ascii="Times New Roman" w:hAnsi="Times New Roman" w:eastAsia="方正仿宋_GBK" w:cs="Times New Roman"/>
          <w:bCs/>
          <w:sz w:val="32"/>
          <w:szCs w:val="32"/>
        </w:rPr>
        <w:t>管理</w:t>
      </w:r>
      <w:r>
        <w:rPr>
          <w:rFonts w:hint="eastAsia" w:ascii="Times New Roman" w:hAnsi="Times New Roman" w:eastAsia="方正仿宋_GBK" w:cs="Times New Roman"/>
          <w:bCs/>
          <w:sz w:val="32"/>
          <w:szCs w:val="32"/>
        </w:rPr>
        <w:t>信息</w:t>
      </w:r>
      <w:r>
        <w:rPr>
          <w:rFonts w:ascii="Times New Roman" w:hAnsi="Times New Roman" w:eastAsia="方正仿宋_GBK" w:cs="Times New Roman"/>
          <w:bCs/>
          <w:sz w:val="32"/>
          <w:szCs w:val="32"/>
        </w:rPr>
        <w:t>系统、综合业务系统、事后监督系统、审计预警系统、流动性风险管理系统、合规系统、综合报表平台等系统，能有效实现对信用风险、流动性风险、操作风险、市场风险等的识别、计量、评估、监测，根据监测数据按季开展流动性风险、信用风险、市场风险压力测试，有效控制各类风险。</w:t>
      </w:r>
    </w:p>
    <w:p>
      <w:pPr>
        <w:keepNext w:val="0"/>
        <w:keepLines w:val="0"/>
        <w:pageBreakBefore w:val="0"/>
        <w:kinsoku/>
        <w:wordWrap/>
        <w:overflowPunct/>
        <w:topLinePunct w:val="0"/>
        <w:autoSpaceDE/>
        <w:autoSpaceDN/>
        <w:bidi w:val="0"/>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四、内部控制和全面审计情况</w:t>
      </w:r>
    </w:p>
    <w:p>
      <w:pPr>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lang w:val="en-US" w:eastAsia="zh-CN"/>
        </w:rPr>
        <w:t>一是成立内控提升检查领导小组，行长亲自部署安排，通过细化方案、建立台账、强化问责等举措加强制度执行，提升内部治理水平。二是逢会必强调，对日常工作时时提醒，对问题疑惑实时解答，畅通渠道促进工作交流。三是层层落实，全行开展内控巩固提升活动，自行开展全面自查，条线部门进行“梳理”工作，审计稽核岗进行再监督，2023年以来，我行各部门自查共发现问题48个，完成整改48个；各条线案排及专项审计共发现问题34个，完成整改33个，整改中1个。四是将整治要点与日常检查、专项检查相结合，持续跟进和整治，坚决做到业务发展与内控提升并重。</w:t>
      </w:r>
    </w:p>
    <w:p>
      <w:pPr>
        <w:keepNext w:val="0"/>
        <w:keepLines w:val="0"/>
        <w:pageBreakBefore w:val="0"/>
        <w:widowControl/>
        <w:numPr>
          <w:ilvl w:val="0"/>
          <w:numId w:val="4"/>
        </w:numPr>
        <w:kinsoku/>
        <w:wordWrap/>
        <w:overflowPunct/>
        <w:topLinePunct w:val="0"/>
        <w:autoSpaceDE/>
        <w:autoSpaceDN/>
        <w:bidi w:val="0"/>
        <w:spacing w:line="580" w:lineRule="exact"/>
        <w:ind w:left="1080" w:leftChars="0" w:hanging="1080" w:firstLineChars="0"/>
        <w:jc w:val="center"/>
      </w:pPr>
      <w:r>
        <w:rPr>
          <w:rFonts w:ascii="Times New Roman" w:hAnsi="Times New Roman" w:eastAsia="方正小标宋_GBK" w:cs="Times New Roman"/>
          <w:bCs/>
          <w:kern w:val="0"/>
          <w:sz w:val="32"/>
          <w:szCs w:val="32"/>
        </w:rPr>
        <w:t> </w:t>
      </w:r>
      <w:r>
        <w:rPr>
          <w:rFonts w:hint="eastAsia" w:ascii="Times New Roman" w:hAnsi="Times New Roman" w:eastAsia="方正小标宋_GBK" w:cs="Times New Roman"/>
          <w:bCs/>
          <w:kern w:val="0"/>
          <w:sz w:val="32"/>
          <w:szCs w:val="32"/>
        </w:rPr>
        <w:t>消费者权益保护</w:t>
      </w:r>
      <w:r>
        <w:rPr>
          <w:rFonts w:hint="eastAsia" w:ascii="Times New Roman" w:hAnsi="Times New Roman" w:eastAsia="方正小标宋_GBK" w:cs="Times New Roman"/>
          <w:bCs/>
          <w:kern w:val="0"/>
          <w:sz w:val="32"/>
          <w:szCs w:val="32"/>
          <w:lang w:eastAsia="zh-CN"/>
        </w:rPr>
        <w:t>情况</w:t>
      </w:r>
    </w:p>
    <w:p>
      <w:pPr>
        <w:tabs>
          <w:tab w:val="left" w:pos="0"/>
        </w:tabs>
        <w:adjustRightInd w:val="0"/>
        <w:snapToGrid w:val="0"/>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w:t>
      </w:r>
      <w:r>
        <w:rPr>
          <w:rFonts w:hint="eastAsia" w:ascii="Times New Roman" w:hAnsi="Times New Roman" w:eastAsia="方正黑体_GBK" w:cs="Times New Roman"/>
          <w:bCs/>
          <w:sz w:val="32"/>
          <w:szCs w:val="32"/>
        </w:rPr>
        <w:t>消费者投诉情况</w:t>
      </w:r>
    </w:p>
    <w:p>
      <w:pPr>
        <w:tabs>
          <w:tab w:val="left" w:pos="0"/>
        </w:tabs>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2023年我行仅收到1笔投诉，投诉来源为电话投诉至人民银行后转投诉，投诉业务办理渠道为中、后台业务渠道，投诉业务类别个人住房贷款，投诉原因为因金融机构管理制度、业务规则与流程引起的投诉，投诉处理结果为满意，办结率和满意度均为100%。</w:t>
      </w:r>
    </w:p>
    <w:p>
      <w:pPr>
        <w:tabs>
          <w:tab w:val="left" w:pos="0"/>
        </w:tabs>
        <w:adjustRightInd w:val="0"/>
        <w:snapToGrid w:val="0"/>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w:t>
      </w:r>
      <w:r>
        <w:rPr>
          <w:rFonts w:hint="eastAsia" w:ascii="Times New Roman" w:hAnsi="Times New Roman" w:eastAsia="方正黑体_GBK" w:cs="Times New Roman"/>
          <w:bCs/>
          <w:sz w:val="32"/>
          <w:szCs w:val="32"/>
        </w:rPr>
        <w:t>消费者权益保护重大信息</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hint="default"/>
        </w:rPr>
      </w:pPr>
      <w:r>
        <w:rPr>
          <w:rFonts w:hint="eastAsia" w:ascii="Times New Roman" w:hAnsi="Times New Roman" w:eastAsia="方正仿宋_GBK" w:cs="Times New Roman"/>
          <w:sz w:val="32"/>
          <w:szCs w:val="32"/>
        </w:rPr>
        <w:t>本年度无消费者权益保护重大信息</w:t>
      </w:r>
      <w:r>
        <w:rPr>
          <w:rFonts w:ascii="Times New Roman" w:hAnsi="Times New Roman" w:eastAsia="方正仿宋_GBK" w:cs="Times New Roman"/>
          <w:sz w:val="32"/>
          <w:szCs w:val="32"/>
        </w:rPr>
        <w:t>。</w:t>
      </w:r>
    </w:p>
    <w:p>
      <w:pPr>
        <w:keepNext w:val="0"/>
        <w:keepLines w:val="0"/>
        <w:pageBreakBefore w:val="0"/>
        <w:widowControl/>
        <w:numPr>
          <w:ilvl w:val="0"/>
          <w:numId w:val="4"/>
        </w:numPr>
        <w:kinsoku/>
        <w:wordWrap/>
        <w:overflowPunct/>
        <w:topLinePunct w:val="0"/>
        <w:autoSpaceDE/>
        <w:autoSpaceDN/>
        <w:bidi w:val="0"/>
        <w:spacing w:line="580" w:lineRule="exact"/>
        <w:ind w:left="1080" w:leftChars="0" w:hanging="1080" w:firstLineChars="0"/>
        <w:jc w:val="center"/>
        <w:rPr>
          <w:rFonts w:hint="default"/>
        </w:rPr>
      </w:pPr>
      <w:r>
        <w:rPr>
          <w:rFonts w:hint="default" w:ascii="Times New Roman" w:hAnsi="Times New Roman" w:eastAsia="方正小标宋_GBK" w:cs="Times New Roman"/>
          <w:bCs/>
          <w:color w:val="auto"/>
          <w:kern w:val="0"/>
          <w:sz w:val="32"/>
          <w:szCs w:val="32"/>
          <w:highlight w:val="none"/>
        </w:rPr>
        <w:t> 其他重要事项</w:t>
      </w:r>
    </w:p>
    <w:p>
      <w:pPr>
        <w:keepNext w:val="0"/>
        <w:keepLines w:val="0"/>
        <w:pageBreakBefore w:val="0"/>
        <w:widowControl/>
        <w:numPr>
          <w:ilvl w:val="0"/>
          <w:numId w:val="5"/>
        </w:numPr>
        <w:kinsoku/>
        <w:wordWrap/>
        <w:overflowPunct/>
        <w:topLinePunct w:val="0"/>
        <w:autoSpaceDE/>
        <w:autoSpaceDN/>
        <w:bidi w:val="0"/>
        <w:spacing w:line="580" w:lineRule="exact"/>
        <w:ind w:firstLine="640" w:firstLineChars="200"/>
        <w:jc w:val="lef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报告期内，无重大诉讼、仲裁事项。</w:t>
      </w:r>
      <w:r>
        <w:rPr>
          <w:rFonts w:ascii="Times New Roman" w:hAnsi="Times New Roman" w:eastAsia="方正仿宋_GBK" w:cs="Times New Roman"/>
          <w:sz w:val="32"/>
          <w:szCs w:val="32"/>
        </w:rPr>
        <w:t>但202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年，因清收不良贷款，涉及不良贷款诉讼案件</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件，标的金额</w:t>
      </w:r>
      <w:r>
        <w:rPr>
          <w:rFonts w:hint="eastAsia" w:ascii="Times New Roman" w:hAnsi="Times New Roman" w:eastAsia="方正仿宋_GBK" w:cs="Times New Roman"/>
          <w:sz w:val="32"/>
          <w:szCs w:val="32"/>
        </w:rPr>
        <w:t>104.1</w:t>
      </w:r>
      <w:r>
        <w:rPr>
          <w:rFonts w:ascii="Times New Roman" w:hAnsi="Times New Roman" w:eastAsia="方正仿宋_GBK" w:cs="Times New Roman"/>
          <w:sz w:val="32"/>
          <w:szCs w:val="32"/>
        </w:rPr>
        <w:t>万元，均已判决</w:t>
      </w:r>
      <w:r>
        <w:rPr>
          <w:rFonts w:hint="eastAsia" w:ascii="Times New Roman" w:hAnsi="Times New Roman" w:eastAsia="方正仿宋_GBK" w:cs="Times New Roman"/>
          <w:sz w:val="32"/>
          <w:szCs w:val="32"/>
        </w:rPr>
        <w:t>我行胜诉</w:t>
      </w:r>
      <w:r>
        <w:rPr>
          <w:rFonts w:ascii="Times New Roman" w:hAnsi="Times New Roman" w:eastAsia="方正仿宋_GBK" w:cs="Times New Roman"/>
          <w:sz w:val="32"/>
          <w:szCs w:val="32"/>
        </w:rPr>
        <w:t>。</w:t>
      </w:r>
    </w:p>
    <w:p>
      <w:pPr>
        <w:keepNext w:val="0"/>
        <w:keepLines w:val="0"/>
        <w:pageBreakBefore w:val="0"/>
        <w:widowControl/>
        <w:numPr>
          <w:ilvl w:val="0"/>
          <w:numId w:val="0"/>
        </w:numPr>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二、报告期内，未发生重大案件、重大差错等情况。</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三、报告期内发生的关联交易已如实披露。</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四、报告期内本公司各项业务合同履行情况正常，无重大合同纠纷发生。</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sz w:val="32"/>
          <w:szCs w:val="32"/>
        </w:rPr>
      </w:pPr>
      <w:r>
        <w:rPr>
          <w:rFonts w:hint="default" w:ascii="Times New Roman" w:hAnsi="Times New Roman" w:eastAsia="方正仿宋_GBK" w:cs="Times New Roman"/>
          <w:color w:val="auto"/>
          <w:kern w:val="0"/>
          <w:sz w:val="32"/>
          <w:szCs w:val="32"/>
          <w:highlight w:val="none"/>
        </w:rPr>
        <w:t>报告期内，除上述信息外，本公司无其他有必要让公众了解的重要信息。</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highlight w:val="none"/>
        </w:rPr>
      </w:pPr>
      <w:r>
        <w:rPr>
          <w:rFonts w:hint="default" w:ascii="Times New Roman" w:hAnsi="Times New Roman" w:eastAsia="方正小标宋_GBK" w:cs="Times New Roman"/>
          <w:bCs/>
          <w:color w:val="auto"/>
          <w:kern w:val="0"/>
          <w:sz w:val="32"/>
          <w:szCs w:val="32"/>
          <w:highlight w:val="none"/>
        </w:rPr>
        <w:t>第十</w:t>
      </w:r>
      <w:r>
        <w:rPr>
          <w:rFonts w:hint="eastAsia" w:ascii="Times New Roman" w:hAnsi="Times New Roman" w:eastAsia="方正小标宋_GBK" w:cs="Times New Roman"/>
          <w:bCs/>
          <w:color w:val="auto"/>
          <w:kern w:val="0"/>
          <w:sz w:val="32"/>
          <w:szCs w:val="32"/>
          <w:highlight w:val="none"/>
          <w:lang w:eastAsia="zh-CN"/>
        </w:rPr>
        <w:t>一</w:t>
      </w:r>
      <w:r>
        <w:rPr>
          <w:rFonts w:hint="default" w:ascii="Times New Roman" w:hAnsi="Times New Roman" w:eastAsia="方正小标宋_GBK" w:cs="Times New Roman"/>
          <w:bCs/>
          <w:color w:val="auto"/>
          <w:kern w:val="0"/>
          <w:sz w:val="32"/>
          <w:szCs w:val="32"/>
          <w:highlight w:val="none"/>
        </w:rPr>
        <w:t>节  财务报告</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一、审计报告</w:t>
      </w:r>
      <w:r>
        <w:rPr>
          <w:rFonts w:hint="default" w:ascii="Times New Roman" w:hAnsi="Times New Roman" w:eastAsia="方正黑体_GBK" w:cs="Times New Roman"/>
          <w:color w:val="auto"/>
          <w:kern w:val="0"/>
          <w:sz w:val="32"/>
          <w:szCs w:val="32"/>
          <w:highlight w:val="none"/>
          <w:lang w:eastAsia="zh-CN"/>
        </w:rPr>
        <w:t>及财务报表</w:t>
      </w:r>
      <w:r>
        <w:rPr>
          <w:rFonts w:hint="default" w:ascii="Times New Roman" w:hAnsi="Times New Roman" w:eastAsia="方正仿宋_GBK" w:cs="Times New Roman"/>
          <w:color w:val="auto"/>
          <w:kern w:val="0"/>
          <w:sz w:val="32"/>
          <w:szCs w:val="32"/>
          <w:highlight w:val="none"/>
        </w:rPr>
        <w:t>（见附件）</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lang w:eastAsia="zh-CN"/>
        </w:rPr>
        <w:t>二</w:t>
      </w:r>
      <w:r>
        <w:rPr>
          <w:rFonts w:hint="default" w:ascii="Times New Roman" w:hAnsi="Times New Roman" w:eastAsia="方正黑体_GBK" w:cs="Times New Roman"/>
          <w:color w:val="auto"/>
          <w:kern w:val="0"/>
          <w:sz w:val="32"/>
          <w:szCs w:val="32"/>
          <w:highlight w:val="none"/>
        </w:rPr>
        <w:t>、公司主要会计政策、会计估计和会计差错</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（一）会计年度：本公司会计年度自公历1月1日起至12月31日止。</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（二）记账本位币：本公司的记账本位币为人民币。</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（三）主要会计政策、会计估计和核算方法：</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（1）《企业会计准则》及其相关规定；</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（2）主发起行印发的《关于做好20</w:t>
      </w:r>
      <w:r>
        <w:rPr>
          <w:rFonts w:hint="default"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rPr>
        <w:t>年年终决算工作的通知》；</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石狮</w:t>
      </w:r>
      <w:r>
        <w:rPr>
          <w:rFonts w:hint="default" w:ascii="Times New Roman" w:hAnsi="Times New Roman" w:eastAsia="方正仿宋_GBK" w:cs="Times New Roman"/>
          <w:color w:val="auto"/>
          <w:kern w:val="0"/>
          <w:sz w:val="32"/>
          <w:szCs w:val="32"/>
        </w:rPr>
        <w:t>渝农商村镇银行</w:t>
      </w:r>
      <w:bookmarkStart w:id="3" w:name="OLE_LINK2"/>
      <w:r>
        <w:rPr>
          <w:rFonts w:hint="default" w:ascii="Times New Roman" w:hAnsi="Times New Roman" w:eastAsia="方正仿宋_GBK" w:cs="Times New Roman"/>
          <w:color w:val="auto"/>
          <w:kern w:val="0"/>
          <w:sz w:val="32"/>
          <w:szCs w:val="32"/>
        </w:rPr>
        <w:t>会计基本制度</w:t>
      </w:r>
      <w:bookmarkEnd w:id="3"/>
      <w:r>
        <w:rPr>
          <w:rFonts w:hint="default" w:ascii="Times New Roman" w:hAnsi="Times New Roman" w:eastAsia="方正仿宋_GBK" w:cs="Times New Roman"/>
          <w:color w:val="auto"/>
          <w:kern w:val="0"/>
          <w:sz w:val="32"/>
          <w:szCs w:val="32"/>
        </w:rPr>
        <w:t>》。</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lang w:eastAsia="zh-CN"/>
        </w:rPr>
        <w:t>三</w:t>
      </w:r>
      <w:r>
        <w:rPr>
          <w:rFonts w:hint="default" w:ascii="Times New Roman" w:hAnsi="Times New Roman" w:eastAsia="方正黑体_GBK" w:cs="Times New Roman"/>
          <w:color w:val="auto"/>
          <w:kern w:val="0"/>
          <w:sz w:val="32"/>
          <w:szCs w:val="32"/>
        </w:rPr>
        <w:t>、报告期内本公司没有重大会计差错更正。</w:t>
      </w: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val="en-US" w:eastAsia="zh-CN"/>
        </w:rPr>
        <w:t>附件：202</w:t>
      </w:r>
      <w:r>
        <w:rPr>
          <w:rFonts w:hint="eastAsia" w:ascii="Times New Roman" w:hAnsi="Times New Roman" w:eastAsia="方正仿宋_GBK" w:cs="Times New Roman"/>
          <w:b w:val="0"/>
          <w:bCs/>
          <w:color w:val="auto"/>
          <w:kern w:val="0"/>
          <w:sz w:val="32"/>
          <w:szCs w:val="32"/>
          <w:lang w:val="en-US" w:eastAsia="zh-CN"/>
        </w:rPr>
        <w:t>3</w:t>
      </w:r>
      <w:r>
        <w:rPr>
          <w:rFonts w:hint="default" w:ascii="Times New Roman" w:hAnsi="Times New Roman" w:eastAsia="方正仿宋_GBK" w:cs="Times New Roman"/>
          <w:b w:val="0"/>
          <w:bCs/>
          <w:color w:val="auto"/>
          <w:kern w:val="0"/>
          <w:sz w:val="32"/>
          <w:szCs w:val="32"/>
          <w:lang w:val="en-US" w:eastAsia="zh-CN"/>
        </w:rPr>
        <w:t>年审计报告</w:t>
      </w: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ind w:right="520" w:firstLine="3360" w:firstLineChars="1600"/>
        <w:jc w:val="both"/>
        <w:rPr>
          <w:rFonts w:hint="default" w:ascii="Times New Roman" w:hAnsi="Times New Roman" w:eastAsia="方正仿宋_GBK" w:cs="Times New Roman"/>
          <w:color w:val="auto"/>
        </w:rPr>
      </w:pPr>
    </w:p>
    <w:bookmarkEnd w:id="4"/>
    <w:sectPr>
      <w:headerReference r:id="rId3" w:type="default"/>
      <w:footerReference r:id="rId4" w:type="default"/>
      <w:footerReference r:id="rId5"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1F343"/>
    <w:multiLevelType w:val="singleLevel"/>
    <w:tmpl w:val="88F1F343"/>
    <w:lvl w:ilvl="0" w:tentative="0">
      <w:start w:val="3"/>
      <w:numFmt w:val="chineseCounting"/>
      <w:suff w:val="nothing"/>
      <w:lvlText w:val="%1、"/>
      <w:lvlJc w:val="left"/>
      <w:rPr>
        <w:rFonts w:hint="eastAsia"/>
      </w:rPr>
    </w:lvl>
  </w:abstractNum>
  <w:abstractNum w:abstractNumId="1">
    <w:nsid w:val="0000000A"/>
    <w:multiLevelType w:val="multilevel"/>
    <w:tmpl w:val="0000000A"/>
    <w:lvl w:ilvl="0" w:tentative="0">
      <w:start w:val="8"/>
      <w:numFmt w:val="japaneseCounting"/>
      <w:lvlText w:val="第%1节"/>
      <w:lvlJc w:val="left"/>
      <w:pPr>
        <w:tabs>
          <w:tab w:val="left" w:pos="1080"/>
        </w:tabs>
        <w:ind w:left="1080" w:hanging="1080"/>
      </w:pPr>
      <w:rPr>
        <w:rFonts w:hint="eastAsia" w:ascii="方正小标宋_GBK" w:hAnsi="方正小标宋_GBK" w:eastAsia="方正小标宋_GBK" w:cs="方正小标宋_GBK"/>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4E35E02"/>
    <w:multiLevelType w:val="singleLevel"/>
    <w:tmpl w:val="34E35E02"/>
    <w:lvl w:ilvl="0" w:tentative="0">
      <w:start w:val="1"/>
      <w:numFmt w:val="chineseCounting"/>
      <w:suff w:val="nothing"/>
      <w:lvlText w:val="%1、"/>
      <w:lvlJc w:val="left"/>
      <w:rPr>
        <w:rFonts w:hint="eastAsia"/>
      </w:rPr>
    </w:lvl>
  </w:abstractNum>
  <w:abstractNum w:abstractNumId="3">
    <w:nsid w:val="5E6B362F"/>
    <w:multiLevelType w:val="singleLevel"/>
    <w:tmpl w:val="5E6B362F"/>
    <w:lvl w:ilvl="0" w:tentative="0">
      <w:start w:val="2"/>
      <w:numFmt w:val="chineseCounting"/>
      <w:suff w:val="space"/>
      <w:lvlText w:val="第%1节"/>
      <w:lvlJc w:val="left"/>
    </w:lvl>
  </w:abstractNum>
  <w:abstractNum w:abstractNumId="4">
    <w:nsid w:val="5E6F2ACF"/>
    <w:multiLevelType w:val="singleLevel"/>
    <w:tmpl w:val="5E6F2ACF"/>
    <w:lvl w:ilvl="0" w:tentative="0">
      <w:start w:val="1"/>
      <w:numFmt w:val="chineseCounting"/>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OTc2MjczYTBmMzIxZGI1OTZiMzk0ZWIyOWU5OTYifQ=="/>
  </w:docVars>
  <w:rsids>
    <w:rsidRoot w:val="00172A27"/>
    <w:rsid w:val="00036B6E"/>
    <w:rsid w:val="00055DC1"/>
    <w:rsid w:val="000753E2"/>
    <w:rsid w:val="000A7336"/>
    <w:rsid w:val="000D6A05"/>
    <w:rsid w:val="000D6A2E"/>
    <w:rsid w:val="000D7C39"/>
    <w:rsid w:val="000F39A3"/>
    <w:rsid w:val="001065D3"/>
    <w:rsid w:val="00111AB6"/>
    <w:rsid w:val="00117F48"/>
    <w:rsid w:val="001269F1"/>
    <w:rsid w:val="00171429"/>
    <w:rsid w:val="00172A27"/>
    <w:rsid w:val="00180123"/>
    <w:rsid w:val="001A58CA"/>
    <w:rsid w:val="001E0AC2"/>
    <w:rsid w:val="001F63EB"/>
    <w:rsid w:val="002122AF"/>
    <w:rsid w:val="00251906"/>
    <w:rsid w:val="00272CC2"/>
    <w:rsid w:val="0029312E"/>
    <w:rsid w:val="002C1BF9"/>
    <w:rsid w:val="002E386F"/>
    <w:rsid w:val="002F353C"/>
    <w:rsid w:val="003371C6"/>
    <w:rsid w:val="00342E31"/>
    <w:rsid w:val="00354570"/>
    <w:rsid w:val="0037385A"/>
    <w:rsid w:val="00387254"/>
    <w:rsid w:val="003A292A"/>
    <w:rsid w:val="003A6DAC"/>
    <w:rsid w:val="003C3B29"/>
    <w:rsid w:val="0042076E"/>
    <w:rsid w:val="00444884"/>
    <w:rsid w:val="004A1168"/>
    <w:rsid w:val="004A2119"/>
    <w:rsid w:val="004A7268"/>
    <w:rsid w:val="004C65E1"/>
    <w:rsid w:val="004D5F4F"/>
    <w:rsid w:val="00557C84"/>
    <w:rsid w:val="00566645"/>
    <w:rsid w:val="00585878"/>
    <w:rsid w:val="005F620E"/>
    <w:rsid w:val="0060520D"/>
    <w:rsid w:val="00613CF8"/>
    <w:rsid w:val="00636404"/>
    <w:rsid w:val="006512C9"/>
    <w:rsid w:val="00655750"/>
    <w:rsid w:val="00670928"/>
    <w:rsid w:val="00680F65"/>
    <w:rsid w:val="006A02D4"/>
    <w:rsid w:val="006B1076"/>
    <w:rsid w:val="006C3F4A"/>
    <w:rsid w:val="006E1CCA"/>
    <w:rsid w:val="007322F6"/>
    <w:rsid w:val="00744D95"/>
    <w:rsid w:val="00746818"/>
    <w:rsid w:val="00747C4D"/>
    <w:rsid w:val="00777B7F"/>
    <w:rsid w:val="007B3DF3"/>
    <w:rsid w:val="00832D16"/>
    <w:rsid w:val="00871411"/>
    <w:rsid w:val="008830FD"/>
    <w:rsid w:val="008B67D0"/>
    <w:rsid w:val="008F0449"/>
    <w:rsid w:val="00945FC5"/>
    <w:rsid w:val="00A13316"/>
    <w:rsid w:val="00A25FD7"/>
    <w:rsid w:val="00A34C8F"/>
    <w:rsid w:val="00A47A1A"/>
    <w:rsid w:val="00A84B85"/>
    <w:rsid w:val="00AA483B"/>
    <w:rsid w:val="00AC6DDC"/>
    <w:rsid w:val="00AF0494"/>
    <w:rsid w:val="00AF4400"/>
    <w:rsid w:val="00B22018"/>
    <w:rsid w:val="00B27B07"/>
    <w:rsid w:val="00B323A5"/>
    <w:rsid w:val="00B37121"/>
    <w:rsid w:val="00B566A2"/>
    <w:rsid w:val="00B5715F"/>
    <w:rsid w:val="00B84862"/>
    <w:rsid w:val="00BC6788"/>
    <w:rsid w:val="00C2342D"/>
    <w:rsid w:val="00C418B6"/>
    <w:rsid w:val="00C432F9"/>
    <w:rsid w:val="00C47D1A"/>
    <w:rsid w:val="00C52565"/>
    <w:rsid w:val="00C74893"/>
    <w:rsid w:val="00C923FA"/>
    <w:rsid w:val="00CE132F"/>
    <w:rsid w:val="00D32F39"/>
    <w:rsid w:val="00D47347"/>
    <w:rsid w:val="00D52D44"/>
    <w:rsid w:val="00D64FF5"/>
    <w:rsid w:val="00D80049"/>
    <w:rsid w:val="00DE2641"/>
    <w:rsid w:val="00E00262"/>
    <w:rsid w:val="00E22290"/>
    <w:rsid w:val="00E34171"/>
    <w:rsid w:val="00E37812"/>
    <w:rsid w:val="00E80B3D"/>
    <w:rsid w:val="00E8157B"/>
    <w:rsid w:val="00E914DA"/>
    <w:rsid w:val="00EB008C"/>
    <w:rsid w:val="00EB4473"/>
    <w:rsid w:val="00EB7E76"/>
    <w:rsid w:val="00ED34A4"/>
    <w:rsid w:val="00EF2D07"/>
    <w:rsid w:val="00F10BBA"/>
    <w:rsid w:val="00F15BD1"/>
    <w:rsid w:val="00F40883"/>
    <w:rsid w:val="00F52523"/>
    <w:rsid w:val="00F6433C"/>
    <w:rsid w:val="00F807FD"/>
    <w:rsid w:val="00F9473A"/>
    <w:rsid w:val="00FA1DB3"/>
    <w:rsid w:val="00FE6C74"/>
    <w:rsid w:val="00FE7C5C"/>
    <w:rsid w:val="00FF16A5"/>
    <w:rsid w:val="02F32B3B"/>
    <w:rsid w:val="04B730E4"/>
    <w:rsid w:val="05655941"/>
    <w:rsid w:val="06524D5A"/>
    <w:rsid w:val="08584939"/>
    <w:rsid w:val="0A4E2424"/>
    <w:rsid w:val="0A520C93"/>
    <w:rsid w:val="0A5D67D7"/>
    <w:rsid w:val="0A894589"/>
    <w:rsid w:val="0C5E2609"/>
    <w:rsid w:val="0CEA5D1A"/>
    <w:rsid w:val="0D741C6E"/>
    <w:rsid w:val="0E93627C"/>
    <w:rsid w:val="0F0025E7"/>
    <w:rsid w:val="0FFE48EE"/>
    <w:rsid w:val="11CF0D05"/>
    <w:rsid w:val="14E17A2E"/>
    <w:rsid w:val="17F10F9E"/>
    <w:rsid w:val="196B4EAA"/>
    <w:rsid w:val="1ACF57E4"/>
    <w:rsid w:val="1B1404C6"/>
    <w:rsid w:val="1C0A0AAD"/>
    <w:rsid w:val="1C12200A"/>
    <w:rsid w:val="1D651070"/>
    <w:rsid w:val="1D9A49D2"/>
    <w:rsid w:val="1E5F030B"/>
    <w:rsid w:val="1EDF338A"/>
    <w:rsid w:val="2162352F"/>
    <w:rsid w:val="21B46A0C"/>
    <w:rsid w:val="22380D4B"/>
    <w:rsid w:val="22693AF6"/>
    <w:rsid w:val="22AF0F18"/>
    <w:rsid w:val="23F94F6E"/>
    <w:rsid w:val="24413F5B"/>
    <w:rsid w:val="25330CB1"/>
    <w:rsid w:val="25A83195"/>
    <w:rsid w:val="28782C5E"/>
    <w:rsid w:val="28F057B1"/>
    <w:rsid w:val="2A854FE3"/>
    <w:rsid w:val="2C2562FF"/>
    <w:rsid w:val="2DC37966"/>
    <w:rsid w:val="2E4A0872"/>
    <w:rsid w:val="2FC90F9F"/>
    <w:rsid w:val="32685BE4"/>
    <w:rsid w:val="33EA5180"/>
    <w:rsid w:val="34406AF2"/>
    <w:rsid w:val="35B362B3"/>
    <w:rsid w:val="37746F3A"/>
    <w:rsid w:val="38B0710B"/>
    <w:rsid w:val="3907339B"/>
    <w:rsid w:val="39321A67"/>
    <w:rsid w:val="39D8646A"/>
    <w:rsid w:val="3B6328BA"/>
    <w:rsid w:val="3B7F216D"/>
    <w:rsid w:val="3C490C0B"/>
    <w:rsid w:val="3F0552C3"/>
    <w:rsid w:val="41126165"/>
    <w:rsid w:val="41431774"/>
    <w:rsid w:val="422A6791"/>
    <w:rsid w:val="423B559F"/>
    <w:rsid w:val="44115869"/>
    <w:rsid w:val="452E7317"/>
    <w:rsid w:val="47862C5A"/>
    <w:rsid w:val="47BB1F96"/>
    <w:rsid w:val="480B5A76"/>
    <w:rsid w:val="48D15F8D"/>
    <w:rsid w:val="48D270E9"/>
    <w:rsid w:val="4A670745"/>
    <w:rsid w:val="4AA25F7A"/>
    <w:rsid w:val="4B90738A"/>
    <w:rsid w:val="4DF95D9B"/>
    <w:rsid w:val="4E1014A6"/>
    <w:rsid w:val="4E880CD7"/>
    <w:rsid w:val="51472EA8"/>
    <w:rsid w:val="52BE1A4F"/>
    <w:rsid w:val="54FC5842"/>
    <w:rsid w:val="553779EB"/>
    <w:rsid w:val="56127A6C"/>
    <w:rsid w:val="56664895"/>
    <w:rsid w:val="56BD1262"/>
    <w:rsid w:val="577659E4"/>
    <w:rsid w:val="57954E4E"/>
    <w:rsid w:val="58327FF8"/>
    <w:rsid w:val="59DC6ADB"/>
    <w:rsid w:val="5C2E3DAB"/>
    <w:rsid w:val="5EA569B2"/>
    <w:rsid w:val="5EC21F24"/>
    <w:rsid w:val="5ED04262"/>
    <w:rsid w:val="5F6C0D90"/>
    <w:rsid w:val="60EF268B"/>
    <w:rsid w:val="61DA617F"/>
    <w:rsid w:val="61EA10ED"/>
    <w:rsid w:val="632B38A2"/>
    <w:rsid w:val="64BD30A1"/>
    <w:rsid w:val="67AA2BFC"/>
    <w:rsid w:val="68917970"/>
    <w:rsid w:val="6908424A"/>
    <w:rsid w:val="69311B7E"/>
    <w:rsid w:val="6AF90F17"/>
    <w:rsid w:val="6B3D17BA"/>
    <w:rsid w:val="6E09442C"/>
    <w:rsid w:val="6F0B3D72"/>
    <w:rsid w:val="712D14DC"/>
    <w:rsid w:val="72CF4600"/>
    <w:rsid w:val="741D77F7"/>
    <w:rsid w:val="75FB3D57"/>
    <w:rsid w:val="786B4BC3"/>
    <w:rsid w:val="7C281050"/>
    <w:rsid w:val="7CAE1F5E"/>
    <w:rsid w:val="7D214017"/>
    <w:rsid w:val="7D980ABE"/>
    <w:rsid w:val="7EB25BEF"/>
    <w:rsid w:val="7EC76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widowControl/>
      <w:tabs>
        <w:tab w:val="left" w:pos="420"/>
        <w:tab w:val="right" w:leader="dot" w:pos="9016"/>
      </w:tabs>
      <w:spacing w:after="240" w:line="240" w:lineRule="atLeast"/>
      <w:jc w:val="left"/>
    </w:pPr>
    <w:rPr>
      <w:rFonts w:ascii="华文仿宋" w:hAnsi="华文仿宋" w:eastAsia="仿宋_GB2312"/>
      <w:b/>
      <w:bCs/>
      <w:spacing w:val="-5"/>
      <w:kern w:val="0"/>
      <w:sz w:val="28"/>
      <w:szCs w:val="28"/>
    </w:rPr>
  </w:style>
  <w:style w:type="paragraph" w:styleId="8">
    <w:name w:val="Title"/>
    <w:basedOn w:val="1"/>
    <w:qFormat/>
    <w:uiPriority w:val="10"/>
    <w:pPr>
      <w:spacing w:before="240" w:after="60"/>
      <w:jc w:val="center"/>
      <w:outlineLvl w:val="0"/>
    </w:pPr>
    <w:rPr>
      <w:rFonts w:ascii="Arial" w:hAnsi="Arial" w:cs="Arial"/>
      <w:b/>
      <w:bCs/>
      <w:szCs w:val="3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列出段落1"/>
    <w:basedOn w:val="1"/>
    <w:qFormat/>
    <w:uiPriority w:val="0"/>
    <w:pPr>
      <w:ind w:firstLine="420" w:firstLineChars="200"/>
    </w:pPr>
    <w:rPr>
      <w:rFonts w:ascii="Calibri" w:hAnsi="Calibri" w:cs="黑体"/>
      <w:szCs w:val="22"/>
    </w:rPr>
  </w:style>
  <w:style w:type="paragraph" w:customStyle="1" w:styleId="15">
    <w:name w:val="p0"/>
    <w:basedOn w:val="1"/>
    <w:qFormat/>
    <w:uiPriority w:val="0"/>
    <w:pPr>
      <w:widowControl/>
    </w:pPr>
    <w:rPr>
      <w:rFonts w:ascii="Calibri" w:hAnsi="Calibri" w:cs="宋体"/>
      <w:kern w:val="0"/>
      <w:szCs w:val="21"/>
    </w:rPr>
  </w:style>
  <w:style w:type="character" w:customStyle="1" w:styleId="16">
    <w:name w:val="批注框文本 Char"/>
    <w:basedOn w:val="11"/>
    <w:link w:val="4"/>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cqrcb</Company>
  <Pages>31</Pages>
  <Words>1697</Words>
  <Characters>9674</Characters>
  <Lines>80</Lines>
  <Paragraphs>22</Paragraphs>
  <TotalTime>21</TotalTime>
  <ScaleCrop>false</ScaleCrop>
  <LinksUpToDate>false</LinksUpToDate>
  <CharactersWithSpaces>11349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2020-04-29T07:23:00Z</dcterms:created>
  <dc:creator>香格里拉万俐娅</dc:creator>
  <cp:lastModifiedBy>吴育彬</cp:lastModifiedBy>
  <cp:lastPrinted>2020-05-09T09:06:00Z</cp:lastPrinted>
  <dcterms:modified xsi:type="dcterms:W3CDTF">2024-04-25T01:52:04Z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D4B25B0AB2DB40BA865DCCC5552813CE_12</vt:lpwstr>
  </property>
</Properties>
</file>