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福建</w:t>
      </w:r>
      <w:r>
        <w:rPr>
          <w:rFonts w:hint="default" w:ascii="Times New Roman" w:hAnsi="Times New Roman" w:eastAsia="方正小标宋_GBK" w:cs="Times New Roman"/>
          <w:sz w:val="44"/>
          <w:szCs w:val="44"/>
        </w:rPr>
        <w:t>石狮渝农商村镇银行</w:t>
      </w:r>
      <w:r>
        <w:rPr>
          <w:rFonts w:hint="default" w:ascii="Times New Roman" w:hAnsi="Times New Roman" w:eastAsia="方正小标宋_GBK" w:cs="Times New Roman"/>
          <w:sz w:val="44"/>
          <w:szCs w:val="44"/>
          <w:lang w:eastAsia="zh-CN"/>
        </w:rPr>
        <w:t>有限责任公司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关于环境信息披露的报告</w:t>
      </w:r>
    </w:p>
    <w:p>
      <w:pPr>
        <w:jc w:val="both"/>
        <w:rPr>
          <w:rFonts w:hint="default" w:ascii="Times New Roman" w:hAnsi="Times New Roman" w:eastAsia="方正小标宋_GBK" w:cs="Times New Roman"/>
          <w:sz w:val="36"/>
          <w:szCs w:val="36"/>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关于本报告</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涵盖期间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本报告涵盖期限为</w:t>
      </w:r>
      <w:r>
        <w:rPr>
          <w:rFonts w:hint="default" w:ascii="Times New Roman" w:hAnsi="Times New Roman" w:eastAsia="方正仿宋_GBK" w:cs="Times New Roman"/>
          <w:sz w:val="32"/>
          <w:szCs w:val="32"/>
          <w:highlight w:val="none"/>
          <w:lang w:val="en-US" w:eastAsia="zh-CN"/>
        </w:rPr>
        <w:t>2024年1月1日至2024年12月31日。</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报告周期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本报告为年度报告。</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报告范围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本报告披露石狮渝农商村镇银行所属网点机构。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报告数据说明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报告中的财务数据以2024年度为主。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编制依据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本报告内容遵循人民银行福建省分行发布的《福建省金融机构环境信息披露工作安排》等相关要求。</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关于本报告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（一）年度总体概述、关键成果及绩效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rPr>
        <w:t>1.</w:t>
      </w:r>
      <w:r>
        <w:rPr>
          <w:rFonts w:hint="default" w:ascii="Times New Roman" w:hAnsi="Times New Roman" w:eastAsia="方正仿宋_GBK" w:cs="Times New Roman"/>
          <w:b/>
          <w:sz w:val="32"/>
          <w:szCs w:val="32"/>
          <w:highlight w:val="none"/>
          <w:lang w:eastAsia="zh-CN"/>
        </w:rPr>
        <w:t>总体概述</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石狮渝农商村镇银行秉持绿色发展理念，积极践行社会责任，将环境因素纳入业务发展战略，致力于为客户提供绿色金融服务，支持地方经济的可持续发展。本年度，我行在业务拓展过程中，严格遵循国家相关环保政策法规，不断完善环境风险管理体系，持续推动绿色金融创新，努力实现金融与环境的和谐共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lang w:val="en-US" w:eastAsia="zh-CN"/>
        </w:rPr>
        <w:t>2</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b/>
          <w:sz w:val="32"/>
          <w:szCs w:val="32"/>
          <w:highlight w:val="none"/>
          <w:lang w:eastAsia="zh-CN"/>
        </w:rPr>
        <w:t>关键成果及绩效</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在我行个人助业产品板块推出“绿色养殖贷”，为海洋水产养殖业提供融资支持，助力养殖户购买种苗、改善养殖环境、引进先进技术，提升养殖效益，促进海洋经济的绿色发展；创新“清洁能源贷”，为太阳能、风能等清洁能源项目提供专项贷款，支持新能源产业发展，推动能源结构优化。优化业务流程，为绿色企业提供便捷、高效的金融服务，如简化贷款审批手续、提高审批效率、提供优惠利率等；开展绿色金融咨询服务，为客户提供环保政策解读、绿色项目规划、环境风险管理等方面的专业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（二）下一年度规划与目标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rPr>
        <w:t>1.</w:t>
      </w:r>
      <w:r>
        <w:rPr>
          <w:rFonts w:hint="default" w:ascii="Times New Roman" w:hAnsi="Times New Roman" w:eastAsia="方正仿宋_GBK" w:cs="Times New Roman"/>
          <w:b/>
          <w:sz w:val="32"/>
          <w:szCs w:val="32"/>
          <w:highlight w:val="none"/>
          <w:lang w:eastAsia="zh-CN"/>
        </w:rPr>
        <w:t>内部培训</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定期组织员工参加环境信息披露、绿色金融业务、环境风险管理等方面的培训课程和研讨会，邀请专家学者进行授课和经验分享。提高员工对环境问题的认识和重视程度，增强员工在环境信息披露和绿色金融业务方面的专业能力和业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lang w:val="en-US" w:eastAsia="zh-CN"/>
        </w:rPr>
        <w:t>2</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b/>
          <w:sz w:val="32"/>
          <w:szCs w:val="32"/>
          <w:highlight w:val="none"/>
          <w:lang w:eastAsia="zh-CN"/>
        </w:rPr>
        <w:t>外部宣传</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通过银行官网、微信公众号、新闻媒体等渠道，加大对银行环境信息披露工作、绿色金融业务成果及环保理念的宣传力度。制作宣传手册、短视频等宣传资料，向客户和社会公众普及绿色金融知识和环保政策，提高银行的社会形象和品牌知名度，引导更多社会资本参与绿色金融领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lang w:val="en-US" w:eastAsia="zh-CN"/>
        </w:rPr>
        <w:t>3</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b/>
          <w:sz w:val="32"/>
          <w:szCs w:val="32"/>
          <w:highlight w:val="none"/>
          <w:lang w:eastAsia="zh-CN"/>
        </w:rPr>
        <w:t>参与行业交流</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参与绿色金融行业组织的活动和交流会议，分享银行在环境信息披露和绿色金融创新方面的经验和成果。学习借鉴其他金融机构的先进做法和成功经验，不断完善自身的环境信息披露和绿色金融发展策略，推动行业共同进步。</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治理结构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（一）班子成员相关分析研判、战略决策、管理监督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我行无设立董事会，主要由班子成员负责制定全行的绿色发展战略和环境政策，监督环境风险管理的执行情况，确保银行的经营活动符合环保要求，推动可持续发展目标的实现。</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班子成员以下相关机构主要职责、工作开展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设立专门的绿色金融工作小组，成员包括风险管理、信贷业务、运营管理等部门骨干，负责具体落实绿色金融政策，开展环境风险评估，推动绿色金融产品与服务的创新与推广，加强与监管部门和外部机构的沟通协调。</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政策制度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（一）相关现行政策、管理办法、实施细则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rPr>
        <w:t>1.</w:t>
      </w:r>
      <w:r>
        <w:rPr>
          <w:rFonts w:hint="default" w:ascii="Times New Roman" w:hAnsi="Times New Roman" w:eastAsia="方正仿宋_GBK" w:cs="Times New Roman"/>
          <w:b/>
          <w:sz w:val="32"/>
          <w:szCs w:val="32"/>
          <w:highlight w:val="none"/>
          <w:lang w:eastAsia="zh-CN"/>
        </w:rPr>
        <w:t>绿色信贷政策</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制定了详细的绿色信贷标准和流程，优先支持节能环保、清洁能源、生态农业等绿色产业项目。对高污染、高耗能行业实施严格的信贷准入限制，加强贷前审查、贷中监控和贷后管理，确保信贷资金流向绿色领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sz w:val="32"/>
          <w:szCs w:val="32"/>
          <w:highlight w:val="none"/>
          <w:lang w:val="en-US" w:eastAsia="zh-CN"/>
        </w:rPr>
        <w:t>2</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b/>
          <w:sz w:val="32"/>
          <w:szCs w:val="32"/>
          <w:highlight w:val="none"/>
          <w:lang w:eastAsia="zh-CN"/>
        </w:rPr>
        <w:t>环境风险管理政策</w:t>
      </w:r>
      <w:r>
        <w:rPr>
          <w:rFonts w:hint="default" w:ascii="Times New Roman" w:hAnsi="Times New Roman" w:eastAsia="方正仿宋_GBK" w:cs="Times New Roman"/>
          <w:b/>
          <w:sz w:val="32"/>
          <w:szCs w:val="32"/>
          <w:highlight w:val="none"/>
        </w:rPr>
        <w:t>。</w:t>
      </w:r>
      <w:r>
        <w:rPr>
          <w:rFonts w:hint="default" w:ascii="Times New Roman" w:hAnsi="Times New Roman" w:eastAsia="方正仿宋_GBK" w:cs="Times New Roman"/>
          <w:sz w:val="32"/>
          <w:szCs w:val="32"/>
          <w:highlight w:val="none"/>
          <w:lang w:val="en-US" w:eastAsia="zh-CN"/>
        </w:rPr>
        <w:t>定期对业务活动中的环境风险进行排查和分析，制定相应的风险应对措施。对可能产生重大环境影响的业务，要求进行专项环境风险评估，并根据评估结果调整风险管理策略。</w:t>
      </w:r>
    </w:p>
    <w:p>
      <w:pPr>
        <w:widowControl/>
        <w:jc w:val="center"/>
        <w:rPr>
          <w:rFonts w:hint="default" w:ascii="Times New Roman" w:hAnsi="Times New Roman" w:eastAsia="方正黑体_GBK" w:cs="Times New Roman"/>
          <w:bCs/>
          <w:kern w:val="0"/>
          <w:sz w:val="28"/>
          <w:szCs w:val="28"/>
          <w:lang w:eastAsia="zh-CN"/>
        </w:rPr>
      </w:pPr>
      <w:r>
        <w:rPr>
          <w:rFonts w:hint="default" w:ascii="Times New Roman" w:hAnsi="Times New Roman" w:eastAsia="方正黑体_GBK" w:cs="Times New Roman"/>
          <w:bCs/>
          <w:kern w:val="0"/>
          <w:sz w:val="28"/>
          <w:szCs w:val="28"/>
        </w:rPr>
        <w:t>表1</w:t>
      </w:r>
      <w:r>
        <w:rPr>
          <w:rFonts w:hint="default" w:ascii="Times New Roman" w:hAnsi="Times New Roman" w:eastAsia="方正黑体_GBK" w:cs="Times New Roman"/>
          <w:bCs/>
          <w:kern w:val="0"/>
          <w:sz w:val="28"/>
          <w:szCs w:val="28"/>
          <w:lang w:val="en-US" w:eastAsia="zh-CN"/>
        </w:rPr>
        <w:t xml:space="preserve"> </w:t>
      </w:r>
      <w:r>
        <w:rPr>
          <w:rFonts w:hint="default" w:ascii="Times New Roman" w:hAnsi="Times New Roman" w:eastAsia="方正黑体_GBK" w:cs="Times New Roman"/>
          <w:bCs/>
          <w:kern w:val="0"/>
          <w:sz w:val="28"/>
          <w:szCs w:val="28"/>
          <w:lang w:eastAsia="zh-CN"/>
        </w:rPr>
        <w:t>金融机构环境政策制度情况表</w:t>
      </w:r>
    </w:p>
    <w:tbl>
      <w:tblPr>
        <w:tblStyle w:val="2"/>
        <w:tblW w:w="8517" w:type="dxa"/>
        <w:jc w:val="center"/>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275"/>
        <w:gridCol w:w="1155"/>
        <w:gridCol w:w="2610"/>
        <w:gridCol w:w="1175"/>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23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文件名称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发文字号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文件类型</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文件主要内容</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3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个人助业贷款</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石渝银发〔2024〕47号</w:t>
            </w:r>
          </w:p>
        </w:tc>
        <w:tc>
          <w:tcPr>
            <w:tcW w:w="115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文本</w:t>
            </w:r>
          </w:p>
        </w:tc>
        <w:tc>
          <w:tcPr>
            <w:tcW w:w="261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支持辖区内经营者贷款资金投向实体</w:t>
            </w:r>
          </w:p>
        </w:tc>
        <w:tc>
          <w:tcPr>
            <w:tcW w:w="11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3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石狮渝农商村镇银行农村场镇个人信用贷款操作规程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石渝银发〔2022〕75号</w:t>
            </w:r>
          </w:p>
        </w:tc>
        <w:tc>
          <w:tcPr>
            <w:tcW w:w="115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文本</w:t>
            </w:r>
          </w:p>
        </w:tc>
        <w:tc>
          <w:tcPr>
            <w:tcW w:w="261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支持辖区内经营者贷款资金投向农业等</w:t>
            </w:r>
          </w:p>
        </w:tc>
        <w:tc>
          <w:tcPr>
            <w:tcW w:w="11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3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石狮渝农商村镇银行农村专业大户操作规程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石渝银发〔2022〕7</w:t>
            </w:r>
            <w:r>
              <w:rPr>
                <w:rFonts w:hint="default"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rPr>
              <w:t>号</w:t>
            </w:r>
          </w:p>
        </w:tc>
        <w:tc>
          <w:tcPr>
            <w:tcW w:w="115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文本</w:t>
            </w:r>
          </w:p>
        </w:tc>
        <w:tc>
          <w:tcPr>
            <w:tcW w:w="261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支持辖区内经营者贷款资金投向农业等</w:t>
            </w:r>
          </w:p>
        </w:tc>
        <w:tc>
          <w:tcPr>
            <w:tcW w:w="117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w:t>
            </w:r>
          </w:p>
        </w:tc>
      </w:tr>
    </w:tbl>
    <w:p>
      <w:pPr>
        <w:pStyle w:val="4"/>
        <w:keepNext w:val="0"/>
        <w:keepLines w:val="0"/>
        <w:pageBreakBefore w:val="0"/>
        <w:numPr>
          <w:ilvl w:val="0"/>
          <w:numId w:val="1"/>
        </w:numPr>
        <w:kinsoku/>
        <w:wordWrap/>
        <w:overflowPunct/>
        <w:topLinePunct w:val="0"/>
        <w:autoSpaceDE/>
        <w:autoSpaceDN/>
        <w:bidi w:val="0"/>
        <w:adjustRightInd/>
        <w:snapToGrid w:val="0"/>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产品创新与研究成果</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（一）相关绿色产品创新、项目案例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在绿色金融产品和服务创新方面取得了显著成效，“绿色养殖贷”等产品得到了市场的广泛认可和好评，有效满足了绿色产业客户的融资需求，推动了地方经济的绿色转型。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本年度，我行累计投放绿色信贷资金</w:t>
      </w:r>
      <w:r>
        <w:rPr>
          <w:rFonts w:hint="default" w:ascii="Times New Roman" w:hAnsi="Times New Roman" w:eastAsia="方正仿宋_GBK" w:cs="Times New Roman"/>
          <w:sz w:val="32"/>
          <w:szCs w:val="32"/>
          <w:highlight w:val="none"/>
          <w:lang w:val="en-US" w:eastAsia="zh-CN"/>
        </w:rPr>
        <w:t>92万</w:t>
      </w:r>
      <w:r>
        <w:rPr>
          <w:rFonts w:hint="default" w:ascii="Times New Roman" w:hAnsi="Times New Roman" w:eastAsia="方正仿宋_GBK" w:cs="Times New Roman"/>
          <w:sz w:val="32"/>
          <w:szCs w:val="32"/>
          <w:highlight w:val="none"/>
          <w:lang w:val="en-US" w:eastAsia="zh-CN"/>
        </w:rPr>
        <w:t>元，重点支持了海洋水产养殖、生态农业等领域的项目。这些项目的实施，有效减少了污染物排放，提高了资源利用效率，促进了当地生态环境的改善。例如，通过“绿色养殖贷”支持古浮村养殖户</w:t>
      </w:r>
      <w:r>
        <w:rPr>
          <w:rFonts w:hint="default" w:ascii="Times New Roman" w:hAnsi="Times New Roman" w:eastAsia="方正仿宋_GBK" w:cs="Times New Roman"/>
          <w:sz w:val="32"/>
          <w:szCs w:val="32"/>
          <w:highlight w:val="none"/>
          <w:lang w:val="en-US" w:eastAsia="zh-CN"/>
        </w:rPr>
        <w:t>流动资金紧缺的问题</w:t>
      </w:r>
      <w:r>
        <w:rPr>
          <w:rFonts w:hint="default" w:ascii="Times New Roman" w:hAnsi="Times New Roman" w:eastAsia="方正仿宋_GBK" w:cs="Times New Roman"/>
          <w:sz w:val="32"/>
          <w:szCs w:val="32"/>
          <w:highlight w:val="none"/>
          <w:lang w:val="en-US" w:eastAsia="zh-CN"/>
        </w:rPr>
        <w:t>，采用生态养殖技术，减少了养殖废水对海洋环境的污染，同时提高了海产品的品质和产量。</w:t>
      </w:r>
    </w:p>
    <w:p>
      <w:pPr>
        <w:pStyle w:val="4"/>
        <w:keepNext w:val="0"/>
        <w:keepLines w:val="0"/>
        <w:pageBreakBefore w:val="0"/>
        <w:numPr>
          <w:ilvl w:val="0"/>
          <w:numId w:val="1"/>
        </w:numPr>
        <w:kinsoku/>
        <w:wordWrap/>
        <w:overflowPunct/>
        <w:topLinePunct w:val="0"/>
        <w:autoSpaceDE/>
        <w:autoSpaceDN/>
        <w:bidi w:val="0"/>
        <w:adjustRightInd/>
        <w:snapToGrid w:val="0"/>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经营活动对气候与环境的影响</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（一）经营活动产生的资源消耗</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kern w:val="2"/>
          <w:sz w:val="32"/>
          <w:szCs w:val="32"/>
          <w:lang w:val="en-US" w:eastAsia="zh-CN" w:bidi="ar-SA"/>
        </w:rPr>
        <w:t>经营活动主要水、电、燃油、纸张等消耗，经过采取节能减耗措施，各消耗都有所下降。</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Cs/>
          <w:kern w:val="0"/>
          <w:sz w:val="28"/>
          <w:szCs w:val="28"/>
          <w:lang w:eastAsia="zh-CN"/>
        </w:rPr>
      </w:pPr>
      <w:r>
        <w:rPr>
          <w:rFonts w:hint="default" w:ascii="Times New Roman" w:hAnsi="Times New Roman" w:eastAsia="方正仿宋_GBK" w:cs="Times New Roman"/>
          <w:bCs/>
          <w:kern w:val="0"/>
          <w:sz w:val="28"/>
          <w:szCs w:val="28"/>
        </w:rPr>
        <w:t>表</w:t>
      </w:r>
      <w:r>
        <w:rPr>
          <w:rFonts w:hint="default" w:ascii="Times New Roman" w:hAnsi="Times New Roman" w:eastAsia="方正仿宋_GBK" w:cs="Times New Roman"/>
          <w:bCs/>
          <w:kern w:val="0"/>
          <w:sz w:val="28"/>
          <w:szCs w:val="28"/>
          <w:lang w:val="en-US" w:eastAsia="zh-CN"/>
        </w:rPr>
        <w:t>2 经营活动生产的资源消耗</w:t>
      </w:r>
    </w:p>
    <w:tbl>
      <w:tblPr>
        <w:tblStyle w:val="2"/>
        <w:tblW w:w="7342" w:type="dxa"/>
        <w:jc w:val="center"/>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790"/>
        <w:gridCol w:w="1335"/>
        <w:gridCol w:w="1292"/>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指标名称</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披露细项</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总量</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人均</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92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报告年度内经营活动产生的资源消耗</w:t>
            </w:r>
          </w:p>
        </w:tc>
        <w:tc>
          <w:tcPr>
            <w:tcW w:w="279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自有交通运输工具消耗燃油（升）</w:t>
            </w:r>
          </w:p>
        </w:tc>
        <w:tc>
          <w:tcPr>
            <w:tcW w:w="133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6120</w:t>
            </w:r>
          </w:p>
        </w:tc>
        <w:tc>
          <w:tcPr>
            <w:tcW w:w="12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92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p>
        </w:tc>
        <w:tc>
          <w:tcPr>
            <w:tcW w:w="279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营业办公消耗电力（万千瓦时）</w:t>
            </w:r>
          </w:p>
        </w:tc>
        <w:tc>
          <w:tcPr>
            <w:tcW w:w="133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104616</w:t>
            </w:r>
          </w:p>
        </w:tc>
        <w:tc>
          <w:tcPr>
            <w:tcW w:w="12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6153.88</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92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p>
        </w:tc>
        <w:tc>
          <w:tcPr>
            <w:tcW w:w="279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营业办公消耗水（吨）</w:t>
            </w:r>
          </w:p>
        </w:tc>
        <w:tc>
          <w:tcPr>
            <w:tcW w:w="133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504</w:t>
            </w:r>
          </w:p>
        </w:tc>
        <w:tc>
          <w:tcPr>
            <w:tcW w:w="12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29.6</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92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p>
        </w:tc>
        <w:tc>
          <w:tcPr>
            <w:tcW w:w="279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营业办公消耗纸张（吨）</w:t>
            </w:r>
          </w:p>
        </w:tc>
        <w:tc>
          <w:tcPr>
            <w:tcW w:w="133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1.225</w:t>
            </w:r>
          </w:p>
        </w:tc>
        <w:tc>
          <w:tcPr>
            <w:tcW w:w="12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0.072</w:t>
            </w:r>
          </w:p>
        </w:tc>
      </w:tr>
    </w:tbl>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eastAsia="zh-CN"/>
        </w:rPr>
        <w:t>（二）环境措施及成果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定期对行内水龙头、马桶等用水设施以及照明灯具、空调、办公设备等用电设备进行全面检查和维护。及时更换老化、损坏的用水设备，安装节水型器具，如感应式水龙头、节水马桶等；逐步将老旧照明灯具更换为LED节能灯，对高能耗的空调和办公设备进行评估，必要时更新为节能型产品 。安装智能水表和电表，实时精准监测用水、用电情况。通过数据分析，掌握用水、用电高峰时段以及可能存在的浪费环节，及时发现漏水、漏电等异常问题并迅速处理。同时，依据监测数据制定科学合理的用水、用电计划，为后续节能措施的调整提供数据支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组织开展节水节电知识培训活动，邀请专业人员为全体员工讲解节水节电的重要性、相关政策法规以及实用技巧。在银行办公区域的显眼位置张贴节水节电宣传海报、标语，在电子显示屏滚动播放节水节电宣传视频。鼓励员工在日常生活和工作中养成随手关灯、关水龙头，合理设置空调温度等良好习惯 。</w:t>
      </w:r>
    </w:p>
    <w:p>
      <w:pPr>
        <w:widowControl/>
        <w:jc w:val="center"/>
        <w:rPr>
          <w:rFonts w:hint="default" w:ascii="Times New Roman" w:hAnsi="Times New Roman" w:eastAsia="方正黑体_GBK" w:cs="Times New Roman"/>
          <w:bCs/>
          <w:kern w:val="0"/>
          <w:sz w:val="28"/>
          <w:szCs w:val="28"/>
          <w:lang w:eastAsia="zh-CN"/>
        </w:rPr>
      </w:pPr>
      <w:r>
        <w:rPr>
          <w:rFonts w:hint="default" w:ascii="Times New Roman" w:hAnsi="Times New Roman" w:eastAsia="方正黑体_GBK" w:cs="Times New Roman"/>
          <w:bCs/>
          <w:kern w:val="0"/>
          <w:sz w:val="28"/>
          <w:szCs w:val="28"/>
        </w:rPr>
        <w:t>表</w:t>
      </w:r>
      <w:r>
        <w:rPr>
          <w:rFonts w:hint="default" w:ascii="Times New Roman" w:hAnsi="Times New Roman" w:eastAsia="方正黑体_GBK" w:cs="Times New Roman"/>
          <w:bCs/>
          <w:kern w:val="0"/>
          <w:sz w:val="28"/>
          <w:szCs w:val="28"/>
          <w:lang w:val="en-US" w:eastAsia="zh-CN"/>
        </w:rPr>
        <w:t>3 环境措施及成果</w:t>
      </w:r>
    </w:p>
    <w:tbl>
      <w:tblPr>
        <w:tblStyle w:val="2"/>
        <w:tblW w:w="8356" w:type="dxa"/>
        <w:jc w:val="center"/>
        <w:tblInd w:w="-156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2667"/>
        <w:gridCol w:w="2671"/>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30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管理内容</w:t>
            </w:r>
          </w:p>
        </w:tc>
        <w:tc>
          <w:tcPr>
            <w:tcW w:w="2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管理措施</w:t>
            </w:r>
          </w:p>
        </w:tc>
        <w:tc>
          <w:tcPr>
            <w:tcW w:w="26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执行效果</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3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节电管理</w:t>
            </w:r>
          </w:p>
        </w:tc>
        <w:tc>
          <w:tcPr>
            <w:tcW w:w="266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定期检查设备待机耗电（如下班后未关的电脑、打印机），制定《节电巡查表》，明确责任人</w:t>
            </w:r>
          </w:p>
        </w:tc>
        <w:tc>
          <w:tcPr>
            <w:tcW w:w="267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较往年节约100</w:t>
            </w:r>
            <w:r>
              <w:rPr>
                <w:rFonts w:hint="default" w:ascii="Times New Roman" w:hAnsi="Times New Roman" w:eastAsia="方正仿宋_GBK" w:cs="Times New Roman"/>
                <w:color w:val="000000"/>
                <w:sz w:val="24"/>
                <w:szCs w:val="24"/>
                <w:lang w:eastAsia="zh-CN"/>
              </w:rPr>
              <w:t>千瓦时</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3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节水管理</w:t>
            </w:r>
          </w:p>
        </w:tc>
        <w:tc>
          <w:tcPr>
            <w:tcW w:w="266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在水龙头旁张贴节水标语</w:t>
            </w:r>
          </w:p>
        </w:tc>
        <w:tc>
          <w:tcPr>
            <w:tcW w:w="267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较往年节约50吨</w:t>
            </w:r>
          </w:p>
        </w:tc>
      </w:tr>
    </w:tbl>
    <w:p>
      <w:pPr>
        <w:widowControl/>
        <w:jc w:val="center"/>
        <w:rPr>
          <w:rFonts w:hint="default" w:ascii="Times New Roman" w:hAnsi="Times New Roman" w:eastAsia="方正黑体_GBK" w:cs="Times New Roman"/>
          <w:bCs/>
          <w:kern w:val="0"/>
          <w:sz w:val="28"/>
          <w:szCs w:val="28"/>
          <w:lang w:val="en-US" w:eastAsia="zh-CN"/>
        </w:rPr>
      </w:pPr>
      <w:r>
        <w:rPr>
          <w:rFonts w:hint="default" w:ascii="Times New Roman" w:hAnsi="Times New Roman" w:eastAsia="方正黑体_GBK" w:cs="Times New Roman"/>
          <w:bCs/>
          <w:kern w:val="0"/>
          <w:sz w:val="28"/>
          <w:szCs w:val="28"/>
        </w:rPr>
        <w:t>表</w:t>
      </w:r>
      <w:r>
        <w:rPr>
          <w:rFonts w:hint="default" w:ascii="Times New Roman" w:hAnsi="Times New Roman" w:eastAsia="方正黑体_GBK" w:cs="Times New Roman"/>
          <w:bCs/>
          <w:kern w:val="0"/>
          <w:sz w:val="28"/>
          <w:szCs w:val="28"/>
          <w:lang w:val="en-US" w:eastAsia="zh-CN"/>
        </w:rPr>
        <w:t>4 环保活动开展情况</w:t>
      </w:r>
    </w:p>
    <w:tbl>
      <w:tblPr>
        <w:tblStyle w:val="2"/>
        <w:tblW w:w="8520" w:type="dxa"/>
        <w:jc w:val="center"/>
        <w:tblInd w:w="-1227"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930"/>
        <w:gridCol w:w="1558"/>
        <w:gridCol w:w="1549"/>
        <w:gridCol w:w="154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9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活动主题</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活动形式</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参与人数</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举办次数</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社会影响</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护一方净土</w:t>
            </w:r>
          </w:p>
        </w:tc>
        <w:tc>
          <w:tcPr>
            <w:tcW w:w="193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环保知识户外宣传</w:t>
            </w:r>
          </w:p>
        </w:tc>
        <w:tc>
          <w:tcPr>
            <w:tcW w:w="155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100</w:t>
            </w:r>
          </w:p>
        </w:tc>
        <w:tc>
          <w:tcPr>
            <w:tcW w:w="1549"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w:t>
            </w:r>
          </w:p>
        </w:tc>
        <w:tc>
          <w:tcPr>
            <w:tcW w:w="154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提高民众对环保的意识</w:t>
            </w:r>
          </w:p>
        </w:tc>
      </w:tr>
    </w:tbl>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投融资活动对气候与环境的影响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将工作重点放到支持符合国家产业政策、产品有市场、经济效益好、有发展前景的小微企业，严控对高能耗、高污染的企业资金投入，在保护了我市生态环境的同时，确保了信贷资金的安全。为贯彻落实国家节能减排的宏观调控政策，我行按照“突出重点、区别对待、有保有压”的信贷政策，构建“绿色信贷”通道，强化对节能环保企业的信贷支持，遏制高耗能、高污染企业的盲目扩张，收到较好的经济效益和社会效益。</w:t>
      </w:r>
    </w:p>
    <w:p>
      <w:pPr>
        <w:widowControl/>
        <w:jc w:val="center"/>
        <w:rPr>
          <w:rFonts w:hint="default" w:ascii="Times New Roman" w:hAnsi="Times New Roman" w:eastAsia="方正黑体_GBK" w:cs="Times New Roman"/>
          <w:bCs/>
          <w:kern w:val="0"/>
          <w:sz w:val="28"/>
          <w:szCs w:val="28"/>
          <w:lang w:eastAsia="zh-CN"/>
        </w:rPr>
      </w:pPr>
      <w:r>
        <w:rPr>
          <w:rFonts w:hint="default" w:ascii="Times New Roman" w:hAnsi="Times New Roman" w:eastAsia="方正黑体_GBK" w:cs="Times New Roman"/>
          <w:bCs/>
          <w:kern w:val="0"/>
          <w:sz w:val="28"/>
          <w:szCs w:val="28"/>
        </w:rPr>
        <w:t>表</w:t>
      </w:r>
      <w:r>
        <w:rPr>
          <w:rFonts w:hint="default" w:ascii="Times New Roman" w:hAnsi="Times New Roman" w:eastAsia="方正黑体_GBK" w:cs="Times New Roman"/>
          <w:bCs/>
          <w:kern w:val="0"/>
          <w:sz w:val="28"/>
          <w:szCs w:val="28"/>
          <w:lang w:val="en-US" w:eastAsia="zh-CN"/>
        </w:rPr>
        <w:t>5 投融资活动对气候与环境的影响</w:t>
      </w:r>
    </w:p>
    <w:tbl>
      <w:tblPr>
        <w:tblStyle w:val="2"/>
        <w:tblW w:w="7246" w:type="dxa"/>
        <w:jc w:val="center"/>
        <w:tblInd w:w="-156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3142"/>
        <w:gridCol w:w="1395"/>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2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指标名称</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披露细项</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披露数据</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709"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绿色贷款余额及占比</w:t>
            </w:r>
          </w:p>
        </w:tc>
        <w:tc>
          <w:tcPr>
            <w:tcW w:w="314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绿色贷款余额（万元）</w:t>
            </w:r>
          </w:p>
        </w:tc>
        <w:tc>
          <w:tcPr>
            <w:tcW w:w="139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142</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709"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p>
        </w:tc>
        <w:tc>
          <w:tcPr>
            <w:tcW w:w="314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各项贷款余额（万元）</w:t>
            </w:r>
          </w:p>
        </w:tc>
        <w:tc>
          <w:tcPr>
            <w:tcW w:w="139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34728</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709"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p>
        </w:tc>
        <w:tc>
          <w:tcPr>
            <w:tcW w:w="314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绿色贷款占比（</w:t>
            </w:r>
            <w:r>
              <w:rPr>
                <w:rFonts w:hint="default" w:ascii="Times New Roman" w:hAnsi="Times New Roman" w:eastAsia="方正仿宋_GBK" w:cs="Times New Roman"/>
                <w:color w:val="000000"/>
                <w:sz w:val="24"/>
                <w:szCs w:val="24"/>
                <w:lang w:val="en-US" w:eastAsia="zh-CN"/>
              </w:rPr>
              <w:t>%)</w:t>
            </w:r>
          </w:p>
        </w:tc>
        <w:tc>
          <w:tcPr>
            <w:tcW w:w="139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0.41</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2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持有绿色债券余额及折合减排情况</w:t>
            </w:r>
          </w:p>
        </w:tc>
        <w:tc>
          <w:tcPr>
            <w:tcW w:w="314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持有绿色债券余额（万元）</w:t>
            </w:r>
          </w:p>
        </w:tc>
        <w:tc>
          <w:tcPr>
            <w:tcW w:w="139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w:t>
            </w:r>
          </w:p>
        </w:tc>
      </w:tr>
    </w:tbl>
    <w:p>
      <w:pPr>
        <w:widowControl/>
        <w:ind w:firstLine="1960" w:firstLineChars="700"/>
        <w:jc w:val="both"/>
        <w:rPr>
          <w:rFonts w:hint="default" w:ascii="Times New Roman" w:hAnsi="Times New Roman" w:eastAsia="方正黑体_GBK" w:cs="Times New Roman"/>
          <w:bCs/>
          <w:kern w:val="0"/>
          <w:sz w:val="28"/>
          <w:szCs w:val="28"/>
          <w:lang w:val="en-US" w:eastAsia="zh-CN"/>
        </w:rPr>
      </w:pPr>
      <w:r>
        <w:rPr>
          <w:rFonts w:hint="default" w:ascii="Times New Roman" w:hAnsi="Times New Roman" w:eastAsia="方正黑体_GBK" w:cs="Times New Roman"/>
          <w:bCs/>
          <w:kern w:val="0"/>
          <w:sz w:val="28"/>
          <w:szCs w:val="28"/>
        </w:rPr>
        <w:t>表</w:t>
      </w:r>
      <w:r>
        <w:rPr>
          <w:rFonts w:hint="default" w:ascii="Times New Roman" w:hAnsi="Times New Roman" w:eastAsia="方正黑体_GBK" w:cs="Times New Roman"/>
          <w:bCs/>
          <w:kern w:val="0"/>
          <w:sz w:val="28"/>
          <w:szCs w:val="28"/>
          <w:lang w:val="en-US" w:eastAsia="zh-CN"/>
        </w:rPr>
        <w:t>6 金融机构绿色项目情况表</w:t>
      </w:r>
    </w:p>
    <w:tbl>
      <w:tblPr>
        <w:tblStyle w:val="2"/>
        <w:tblW w:w="8520" w:type="dxa"/>
        <w:jc w:val="center"/>
        <w:tblInd w:w="-1227"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696"/>
        <w:gridCol w:w="1605"/>
        <w:gridCol w:w="1605"/>
        <w:gridCol w:w="1671"/>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9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项目名称</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融资类型</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融资余额</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项目主要内容</w:t>
            </w:r>
          </w:p>
        </w:tc>
        <w:tc>
          <w:tcPr>
            <w:tcW w:w="16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楷体" w:cs="Times New Roman"/>
                <w:b/>
                <w:bCs/>
                <w:color w:val="000000"/>
                <w:kern w:val="0"/>
                <w:sz w:val="22"/>
                <w:lang w:eastAsia="zh-CN"/>
              </w:rPr>
            </w:pPr>
            <w:r>
              <w:rPr>
                <w:rFonts w:hint="default" w:ascii="Times New Roman" w:hAnsi="Times New Roman" w:eastAsia="楷体" w:cs="Times New Roman"/>
                <w:b/>
                <w:bCs/>
                <w:color w:val="000000"/>
                <w:kern w:val="0"/>
                <w:sz w:val="22"/>
                <w:lang w:eastAsia="zh-CN"/>
              </w:rPr>
              <w:t>社会环境效益</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eastAsia="zh-CN"/>
              </w:rPr>
            </w:pPr>
            <w:r>
              <w:rPr>
                <w:rFonts w:hint="default" w:ascii="Times New Roman" w:hAnsi="Times New Roman" w:eastAsia="方正仿宋_GBK" w:cs="Times New Roman"/>
                <w:color w:val="000000"/>
                <w:sz w:val="24"/>
                <w:szCs w:val="24"/>
                <w:lang w:eastAsia="zh-CN"/>
              </w:rPr>
              <w:t>无</w:t>
            </w:r>
          </w:p>
        </w:tc>
        <w:tc>
          <w:tcPr>
            <w:tcW w:w="169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60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60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67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w:t>
            </w:r>
          </w:p>
        </w:tc>
      </w:tr>
    </w:tbl>
    <w:p>
      <w:pPr>
        <w:widowControl/>
        <w:jc w:val="both"/>
        <w:rPr>
          <w:rFonts w:hint="default" w:ascii="Times New Roman" w:hAnsi="Times New Roman" w:eastAsia="方正仿宋_GBK" w:cs="Times New Roman"/>
          <w:color w:val="000000"/>
          <w:sz w:val="22"/>
          <w:lang w:val="en-US" w:eastAsia="zh-CN"/>
        </w:rPr>
      </w:pPr>
      <w:r>
        <w:rPr>
          <w:rFonts w:hint="default" w:ascii="Times New Roman" w:hAnsi="Times New Roman" w:eastAsia="方正仿宋_GBK" w:cs="Times New Roman"/>
          <w:color w:val="000000"/>
          <w:sz w:val="22"/>
          <w:lang w:val="en-US" w:eastAsia="zh-CN"/>
        </w:rPr>
        <w:t>注：披露授信额度在1亿元(含）以上的绿色项目情况</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黑体_GBK" w:cs="Times New Roman"/>
          <w:sz w:val="32"/>
          <w:szCs w:val="32"/>
        </w:rPr>
      </w:pPr>
      <w:bookmarkStart w:id="0" w:name="_GoBack"/>
      <w:r>
        <w:rPr>
          <w:rFonts w:hint="default" w:ascii="Times New Roman" w:hAnsi="Times New Roman" w:eastAsia="方正黑体_GBK" w:cs="Times New Roman"/>
          <w:sz w:val="32"/>
          <w:szCs w:val="32"/>
          <w:lang w:eastAsia="zh-CN"/>
        </w:rPr>
        <w:t>未来展望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未来，</w:t>
      </w:r>
      <w:r>
        <w:rPr>
          <w:rFonts w:hint="default" w:ascii="Times New Roman" w:hAnsi="Times New Roman" w:eastAsia="方正仿宋_GBK" w:cs="Times New Roman"/>
          <w:sz w:val="32"/>
          <w:szCs w:val="32"/>
          <w:highlight w:val="none"/>
          <w:lang w:val="en-US" w:eastAsia="zh-CN"/>
        </w:rPr>
        <w:t>石狮渝农商村镇银行将积极参与当地的环保公益活动，如植树造林、海滩清洁、环保知识进社区等，以实际行动践行社会责任，为保护环境贡献力量。</w:t>
      </w:r>
      <w:r>
        <w:rPr>
          <w:rFonts w:hint="default" w:ascii="Times New Roman" w:hAnsi="Times New Roman" w:eastAsia="方正仿宋_GBK" w:cs="Times New Roman"/>
          <w:sz w:val="32"/>
          <w:szCs w:val="32"/>
          <w:highlight w:val="none"/>
          <w:lang w:val="en-US" w:eastAsia="zh-CN"/>
        </w:rPr>
        <w:t>积极开展员工培训，</w:t>
      </w:r>
      <w:r>
        <w:rPr>
          <w:rFonts w:hint="default" w:ascii="Times New Roman" w:hAnsi="Times New Roman" w:eastAsia="方正仿宋_GBK" w:cs="Times New Roman"/>
          <w:sz w:val="32"/>
          <w:szCs w:val="32"/>
          <w:highlight w:val="none"/>
          <w:lang w:val="en-US" w:eastAsia="zh-CN"/>
        </w:rPr>
        <w:t>内容包括环保政策法规、绿色金融知识、环境风险管理等，提高员工的环保意识和业务能力。同时，通过线上线下相结合的方式，向客户和社会公众普及环保知识，倡导绿色生活方式。继续秉承绿色发展理念，不断完善环境信息披露制度，持续加强环境风险管理，积极推动绿色金融创新，为实现经济社会的可持续发展做出更大的贡献。</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8E89A"/>
    <w:multiLevelType w:val="singleLevel"/>
    <w:tmpl w:val="F8F8E89A"/>
    <w:lvl w:ilvl="0" w:tentative="0">
      <w:start w:val="1"/>
      <w:numFmt w:val="chineseCounting"/>
      <w:suff w:val="nothing"/>
      <w:lvlText w:val="（%1）"/>
      <w:lvlJc w:val="left"/>
      <w:rPr>
        <w:rFonts w:hint="eastAsia"/>
      </w:rPr>
    </w:lvl>
  </w:abstractNum>
  <w:abstractNum w:abstractNumId="1">
    <w:nsid w:val="585039CA"/>
    <w:multiLevelType w:val="multilevel"/>
    <w:tmpl w:val="585039CA"/>
    <w:lvl w:ilvl="0" w:tentative="0">
      <w:start w:val="1"/>
      <w:numFmt w:val="japaneseCounting"/>
      <w:lvlText w:val="%1、"/>
      <w:lvlJc w:val="left"/>
      <w:pPr>
        <w:ind w:left="1347" w:hanging="720"/>
      </w:pPr>
      <w:rPr>
        <w:rFonts w:hint="default"/>
        <w:lang w:val="en-US"/>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2">
    <w:nsid w:val="6F2AE98E"/>
    <w:multiLevelType w:val="singleLevel"/>
    <w:tmpl w:val="6F2AE98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1236"/>
    <w:rsid w:val="03A80119"/>
    <w:rsid w:val="0CFC171A"/>
    <w:rsid w:val="15BB30EC"/>
    <w:rsid w:val="2170478E"/>
    <w:rsid w:val="24164F42"/>
    <w:rsid w:val="32BF0CD6"/>
    <w:rsid w:val="32C35C15"/>
    <w:rsid w:val="33C11B55"/>
    <w:rsid w:val="380F1394"/>
    <w:rsid w:val="3AC75A9D"/>
    <w:rsid w:val="3B0A38B0"/>
    <w:rsid w:val="40F23804"/>
    <w:rsid w:val="41001A59"/>
    <w:rsid w:val="41733707"/>
    <w:rsid w:val="461D1E74"/>
    <w:rsid w:val="46BC171B"/>
    <w:rsid w:val="67226957"/>
    <w:rsid w:val="68C01330"/>
    <w:rsid w:val="68F91715"/>
    <w:rsid w:val="696579CA"/>
    <w:rsid w:val="6D0D6DBF"/>
    <w:rsid w:val="710828F2"/>
    <w:rsid w:val="73A9521B"/>
    <w:rsid w:val="75DD0653"/>
    <w:rsid w:val="75FB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2025-06-04T01:16:00Z</dcterms:created>
  <dc:creator>Administrator</dc:creator>
  <cp:lastModifiedBy>吴育彬</cp:lastModifiedBy>
  <dcterms:modified xsi:type="dcterms:W3CDTF">2025-06-23T02:35:08Z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