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仿宋"/>
          <w:b/>
          <w:sz w:val="24"/>
        </w:rPr>
      </w:pPr>
      <w:bookmarkStart w:id="0" w:name="_Toc524626124"/>
      <w:r>
        <w:rPr>
          <w:rFonts w:hint="eastAsia" w:asciiTheme="minorEastAsia" w:hAnsiTheme="minorEastAsia"/>
          <w:b/>
          <w:sz w:val="32"/>
          <w:szCs w:val="32"/>
        </w:rPr>
        <w:t>重庆农村商业银行江渝财富“天添金”2020年第24期公募封闭式净值型</w:t>
      </w:r>
      <w:r>
        <w:rPr>
          <w:rFonts w:hint="eastAsia" w:asciiTheme="minorEastAsia" w:hAnsiTheme="minorEastAsia"/>
          <w:b/>
          <w:sz w:val="32"/>
          <w:szCs w:val="32"/>
          <w:lang w:val="en-US" w:eastAsia="zh-CN"/>
        </w:rPr>
        <w:t>2021</w:t>
      </w:r>
      <w:r>
        <w:rPr>
          <w:rFonts w:hint="eastAsia" w:asciiTheme="minorEastAsia" w:hAnsiTheme="minorEastAsia"/>
          <w:b/>
          <w:sz w:val="32"/>
          <w:szCs w:val="32"/>
        </w:rPr>
        <w:t>年</w:t>
      </w:r>
      <w:r>
        <w:rPr>
          <w:rFonts w:hint="eastAsia" w:asciiTheme="minorEastAsia" w:hAnsiTheme="minorEastAsia"/>
          <w:b/>
          <w:sz w:val="32"/>
          <w:szCs w:val="32"/>
          <w:lang w:val="en-US" w:eastAsia="zh-CN"/>
        </w:rPr>
        <w:t>第二季度暨半年</w:t>
      </w:r>
      <w:r>
        <w:rPr>
          <w:rFonts w:hint="eastAsia" w:asciiTheme="minorEastAsia" w:hAnsiTheme="minorEastAsia"/>
          <w:b/>
          <w:sz w:val="32"/>
          <w:szCs w:val="32"/>
        </w:rPr>
        <w:t>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vAlign w:val="center"/>
          </w:tcPr>
          <w:p>
            <w:pPr>
              <w:widowControl/>
              <w:jc w:val="both"/>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江渝财富“天添金”2020年第24期公募封闭式净值型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12020024GFJ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C1126720000050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vAlign w:val="top"/>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vAlign w:val="top"/>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408,827,000.00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2020年04月08日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 xml:space="preserve">2023年04月03日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兴业银行股份有限公司重庆分行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346010100102605022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vAlign w:val="top"/>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vAlign w:val="top"/>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2021年6月30日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430,216,164.53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1.0523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1.0523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1493"/>
        <w:gridCol w:w="1565"/>
        <w:gridCol w:w="1495"/>
        <w:gridCol w:w="1352"/>
        <w:gridCol w:w="1212"/>
        <w:gridCol w:w="1216"/>
      </w:tblGrid>
      <w:tr>
        <w:tblPrEx>
          <w:tblCellMar>
            <w:top w:w="0" w:type="dxa"/>
            <w:left w:w="0" w:type="dxa"/>
            <w:bottom w:w="0" w:type="dxa"/>
            <w:right w:w="0" w:type="dxa"/>
          </w:tblCellMar>
        </w:tblPrEx>
        <w:trPr>
          <w:trHeight w:val="312"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435,716,710.85</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100.00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5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257,525,818.09</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59.10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FFFFFF" w:themeColor="background1"/>
                <w:kern w:val="2"/>
                <w:sz w:val="18"/>
                <w:szCs w:val="18"/>
                <w:lang w:val="en-US" w:eastAsia="zh-CN" w:bidi="ar-SA"/>
                <w14:textFill>
                  <w14:solidFill>
                    <w14:schemeClr w14:val="bg1"/>
                  </w14:solidFill>
                </w14:textFill>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166,003,230.44</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38.10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FFFFFF" w:themeColor="background1"/>
                <w:kern w:val="2"/>
                <w:sz w:val="18"/>
                <w:szCs w:val="18"/>
                <w:lang w:val="en-US" w:eastAsia="zh-CN" w:bidi="ar-SA"/>
                <w14:textFill>
                  <w14:solidFill>
                    <w14:schemeClr w14:val="bg1"/>
                  </w14:solidFill>
                </w14:textFill>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12,187,662.32</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2.80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highlight w:val="none"/>
                <w:lang w:bidi="ar"/>
              </w:rPr>
              <w:t>混合类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435,716,710.85</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100.00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2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jc w:val="center"/>
            </w:pPr>
            <w:r>
              <w:rPr>
                <w:rFonts w:hint="eastAsia" w:ascii="宋体" w:hAnsi="宋体" w:eastAsia="宋体" w:cs="宋体"/>
                <w:color w:val="000000"/>
                <w:kern w:val="0"/>
                <w:sz w:val="18"/>
                <w:szCs w:val="18"/>
                <w:lang w:val="en-US" w:eastAsia="zh-CN" w:bidi="ar"/>
              </w:rPr>
              <w:t>/</w:t>
            </w:r>
          </w:p>
        </w:tc>
        <w:tc>
          <w:tcPr>
            <w:tcW w:w="2835" w:type="dxa"/>
          </w:tcPr>
          <w:p>
            <w:pPr>
              <w:jc w:val="center"/>
            </w:pPr>
            <w:r>
              <w:rPr>
                <w:rFonts w:hint="eastAsia" w:ascii="宋体" w:hAnsi="宋体" w:eastAsia="宋体" w:cs="宋体"/>
                <w:color w:val="000000"/>
                <w:kern w:val="0"/>
                <w:sz w:val="18"/>
                <w:szCs w:val="18"/>
                <w:lang w:val="en-US" w:eastAsia="zh-CN" w:bidi="ar"/>
              </w:rPr>
              <w:t>/</w:t>
            </w:r>
          </w:p>
        </w:tc>
        <w:tc>
          <w:tcPr>
            <w:tcW w:w="1841" w:type="dxa"/>
          </w:tcPr>
          <w:p>
            <w:pPr>
              <w:jc w:val="center"/>
            </w:pPr>
            <w:r>
              <w:rPr>
                <w:rFonts w:hint="eastAsia" w:ascii="宋体" w:hAnsi="宋体" w:eastAsia="宋体" w:cs="宋体"/>
                <w:color w:val="000000"/>
                <w:kern w:val="0"/>
                <w:sz w:val="18"/>
                <w:szCs w:val="18"/>
                <w:lang w:val="en-US" w:eastAsia="zh-CN" w:bidi="ar"/>
              </w:rPr>
              <w:t>/</w:t>
            </w:r>
          </w:p>
        </w:tc>
        <w:tc>
          <w:tcPr>
            <w:tcW w:w="2915"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20渝万盛投资ZR002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40,746,082.19</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20渝南州水务ZR001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40,733,808.22</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20浙富阳城投ZR001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40,276,222.22</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19武进经发PPN001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38,710,704.11</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20赣州开投MTN001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38,525,441.10</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19高淳国资MTN001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38,068,712.33</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19天心城投PPN001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37,380,339.73</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18西部物流PPN002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29,896,219.18</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18渝重庆大晟公司ZR002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25,725,068.49</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18江津华信PPN002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24,903,452.05</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5.72</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非标准化债权类资产情况</w:t>
      </w:r>
    </w:p>
    <w:p>
      <w:pPr>
        <w:rPr>
          <w:rFonts w:asciiTheme="minorEastAsia" w:hAnsiTheme="minorEastAsia"/>
          <w:szCs w:val="21"/>
        </w:rPr>
      </w:pPr>
      <w:r>
        <w:rPr>
          <w:rFonts w:hint="eastAsia" w:asciiTheme="minorEastAsia" w:hAnsiTheme="minorEastAsia"/>
          <w:szCs w:val="21"/>
        </w:rPr>
        <w:t>期末理财产品持有非标准化债权类资产如下：</w:t>
      </w:r>
    </w:p>
    <w:tbl>
      <w:tblPr>
        <w:tblStyle w:val="19"/>
        <w:tblW w:w="8311" w:type="dxa"/>
        <w:tblInd w:w="-99" w:type="dxa"/>
        <w:tblLayout w:type="fixed"/>
        <w:tblCellMar>
          <w:top w:w="0" w:type="dxa"/>
          <w:left w:w="0" w:type="dxa"/>
          <w:bottom w:w="0" w:type="dxa"/>
          <w:right w:w="0" w:type="dxa"/>
        </w:tblCellMar>
      </w:tblPr>
      <w:tblGrid>
        <w:gridCol w:w="517"/>
        <w:gridCol w:w="1426"/>
        <w:gridCol w:w="1520"/>
        <w:gridCol w:w="872"/>
        <w:gridCol w:w="840"/>
        <w:gridCol w:w="1176"/>
        <w:gridCol w:w="1056"/>
        <w:gridCol w:w="904"/>
      </w:tblGrid>
      <w:tr>
        <w:trPr>
          <w:trHeight w:val="465" w:hRule="atLeast"/>
        </w:trPr>
        <w:tc>
          <w:tcPr>
            <w:tcW w:w="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15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8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1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0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9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CellMar>
            <w:top w:w="0" w:type="dxa"/>
            <w:left w:w="0" w:type="dxa"/>
            <w:bottom w:w="0" w:type="dxa"/>
            <w:right w:w="0" w:type="dxa"/>
          </w:tblCellMar>
        </w:tblPrEx>
        <w:trPr>
          <w:trHeight w:val="465" w:hRule="atLeast"/>
        </w:trPr>
        <w:tc>
          <w:tcPr>
            <w:tcW w:w="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val="en-US" w:eastAsia="zh-CN" w:bidi="ar"/>
              </w:rPr>
              <w:t>/</w:t>
            </w:r>
          </w:p>
        </w:tc>
        <w:tc>
          <w:tcPr>
            <w:tcW w:w="14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val="en-US" w:eastAsia="zh-CN" w:bidi="ar"/>
              </w:rPr>
              <w:t>/</w:t>
            </w:r>
          </w:p>
        </w:tc>
        <w:tc>
          <w:tcPr>
            <w:tcW w:w="15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val="en-US" w:eastAsia="zh-CN" w:bidi="ar"/>
              </w:rPr>
              <w:t>/</w:t>
            </w:r>
          </w:p>
        </w:tc>
        <w:tc>
          <w:tcPr>
            <w:tcW w:w="8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val="en-US" w:eastAsia="zh-CN" w:bidi="ar"/>
              </w:rPr>
              <w:t>/</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val="en-US" w:eastAsia="zh-CN" w:bidi="ar"/>
              </w:rPr>
              <w:t>/</w:t>
            </w:r>
          </w:p>
        </w:tc>
        <w:tc>
          <w:tcPr>
            <w:tcW w:w="1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val="en-US" w:eastAsia="zh-CN" w:bidi="ar"/>
              </w:rPr>
              <w:t>/</w:t>
            </w:r>
          </w:p>
        </w:tc>
        <w:tc>
          <w:tcPr>
            <w:tcW w:w="10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val="en-US" w:eastAsia="zh-CN" w:bidi="ar"/>
              </w:rPr>
              <w:t>/</w:t>
            </w:r>
          </w:p>
        </w:tc>
        <w:tc>
          <w:tcPr>
            <w:tcW w:w="904" w:type="dxa"/>
            <w:tcBorders>
              <w:top w:val="single" w:color="auto" w:sz="4" w:space="0"/>
              <w:left w:val="single" w:color="auto" w:sz="4" w:space="0"/>
              <w:bottom w:val="single" w:color="auto" w:sz="4" w:space="0"/>
              <w:right w:val="single" w:color="auto" w:sz="4" w:space="0"/>
            </w:tcBorders>
          </w:tcPr>
          <w:p>
            <w:pPr>
              <w:jc w:val="center"/>
            </w:pPr>
            <w:r>
              <w:rPr>
                <w:rFonts w:hint="eastAsia" w:ascii="宋体" w:hAnsi="宋体" w:eastAsia="宋体" w:cs="宋体"/>
                <w:color w:val="000000"/>
                <w:kern w:val="0"/>
                <w:sz w:val="18"/>
                <w:szCs w:val="18"/>
                <w:lang w:val="en-US" w:eastAsia="zh-CN" w:bidi="ar"/>
              </w:rPr>
              <w:t>/</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245"/>
        <w:gridCol w:w="1154"/>
        <w:gridCol w:w="1052"/>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51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c>
          <w:tcPr>
            <w:tcW w:w="127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19高淳国资MTN001</w:t>
            </w:r>
          </w:p>
        </w:tc>
        <w:tc>
          <w:tcPr>
            <w:tcW w:w="1275"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中期票据</w:t>
            </w:r>
          </w:p>
        </w:tc>
        <w:tc>
          <w:tcPr>
            <w:tcW w:w="1245"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101900651</w:t>
            </w:r>
          </w:p>
        </w:tc>
        <w:tc>
          <w:tcPr>
            <w:tcW w:w="1154"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380,000.00</w:t>
            </w:r>
          </w:p>
        </w:tc>
        <w:tc>
          <w:tcPr>
            <w:tcW w:w="1052"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38,068,712.33</w:t>
            </w:r>
          </w:p>
        </w:tc>
        <w:tc>
          <w:tcPr>
            <w:tcW w:w="151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兴业银行股份有限公司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p>
        </w:tc>
        <w:tc>
          <w:tcPr>
            <w:tcW w:w="127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19如皋沿江PPN002</w:t>
            </w:r>
          </w:p>
        </w:tc>
        <w:tc>
          <w:tcPr>
            <w:tcW w:w="1275"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非公开定向债务融资工具</w:t>
            </w:r>
          </w:p>
        </w:tc>
        <w:tc>
          <w:tcPr>
            <w:tcW w:w="1245"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031900424</w:t>
            </w:r>
          </w:p>
        </w:tc>
        <w:tc>
          <w:tcPr>
            <w:tcW w:w="1154"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70,000.00</w:t>
            </w:r>
          </w:p>
        </w:tc>
        <w:tc>
          <w:tcPr>
            <w:tcW w:w="1052"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7,077,168.77</w:t>
            </w:r>
          </w:p>
        </w:tc>
        <w:tc>
          <w:tcPr>
            <w:tcW w:w="151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兴业银行股份有限公司</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w:t>
      </w:r>
      <w:r>
        <w:rPr>
          <w:rFonts w:hint="eastAsia" w:asciiTheme="minorEastAsia" w:hAnsiTheme="minorEastAsia"/>
          <w:szCs w:val="21"/>
        </w:rPr>
        <w:t>（收）</w:t>
      </w:r>
      <w:r>
        <w:rPr>
          <w:rFonts w:asciiTheme="minorEastAsia" w:hAnsiTheme="minorEastAsia"/>
          <w:szCs w:val="21"/>
        </w:rPr>
        <w:t>益权情况</w:t>
      </w:r>
    </w:p>
    <w:p>
      <w:pPr>
        <w:rPr>
          <w:rFonts w:asciiTheme="minorEastAsia" w:hAnsiTheme="minorEastAsia"/>
          <w:szCs w:val="21"/>
        </w:rPr>
      </w:pPr>
      <w:r>
        <w:rPr>
          <w:rFonts w:hint="eastAsia" w:asciiTheme="minorEastAsia" w:hAnsiTheme="minorEastAsia"/>
          <w:szCs w:val="21"/>
        </w:rPr>
        <w:t xml:space="preserve">期末理财产品持有的信贷资产受（收）益权资产如下： </w:t>
      </w:r>
    </w:p>
    <w:tbl>
      <w:tblPr>
        <w:tblStyle w:val="1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985"/>
        <w:gridCol w:w="1134"/>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9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13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tcPr>
          <w:p>
            <w:pPr>
              <w:jc w:val="center"/>
            </w:pPr>
            <w:r>
              <w:rPr>
                <w:rFonts w:hint="eastAsia" w:ascii="宋体" w:hAnsi="宋体" w:eastAsia="宋体" w:cs="宋体"/>
                <w:color w:val="000000"/>
                <w:kern w:val="0"/>
                <w:sz w:val="18"/>
                <w:szCs w:val="18"/>
                <w:lang w:val="en-US" w:eastAsia="zh-CN" w:bidi="ar"/>
              </w:rPr>
              <w:t>/</w:t>
            </w:r>
          </w:p>
        </w:tc>
        <w:tc>
          <w:tcPr>
            <w:tcW w:w="1403" w:type="dxa"/>
          </w:tcPr>
          <w:p>
            <w:pPr>
              <w:jc w:val="center"/>
            </w:pPr>
            <w:r>
              <w:rPr>
                <w:rFonts w:hint="eastAsia" w:ascii="宋体" w:hAnsi="宋体" w:eastAsia="宋体" w:cs="宋体"/>
                <w:color w:val="000000"/>
                <w:kern w:val="0"/>
                <w:sz w:val="18"/>
                <w:szCs w:val="18"/>
                <w:lang w:val="en-US" w:eastAsia="zh-CN" w:bidi="ar"/>
              </w:rPr>
              <w:t>/</w:t>
            </w:r>
          </w:p>
        </w:tc>
        <w:tc>
          <w:tcPr>
            <w:tcW w:w="1985" w:type="dxa"/>
          </w:tcPr>
          <w:p>
            <w:pPr>
              <w:jc w:val="center"/>
            </w:pPr>
            <w:r>
              <w:rPr>
                <w:rFonts w:hint="eastAsia" w:ascii="宋体" w:hAnsi="宋体" w:eastAsia="宋体" w:cs="宋体"/>
                <w:color w:val="000000"/>
                <w:kern w:val="0"/>
                <w:sz w:val="18"/>
                <w:szCs w:val="18"/>
                <w:lang w:val="en-US" w:eastAsia="zh-CN" w:bidi="ar"/>
              </w:rPr>
              <w:t>/</w:t>
            </w:r>
          </w:p>
        </w:tc>
        <w:tc>
          <w:tcPr>
            <w:tcW w:w="1134" w:type="dxa"/>
          </w:tcPr>
          <w:p>
            <w:pPr>
              <w:jc w:val="center"/>
            </w:pPr>
            <w:r>
              <w:rPr>
                <w:rFonts w:hint="eastAsia" w:ascii="宋体" w:hAnsi="宋体" w:eastAsia="宋体" w:cs="宋体"/>
                <w:color w:val="000000"/>
                <w:kern w:val="0"/>
                <w:sz w:val="18"/>
                <w:szCs w:val="18"/>
                <w:lang w:val="en-US" w:eastAsia="zh-CN" w:bidi="ar"/>
              </w:rPr>
              <w:t>/</w:t>
            </w:r>
          </w:p>
        </w:tc>
        <w:tc>
          <w:tcPr>
            <w:tcW w:w="1559" w:type="dxa"/>
          </w:tcPr>
          <w:p>
            <w:pPr>
              <w:jc w:val="center"/>
            </w:pPr>
            <w:r>
              <w:rPr>
                <w:rFonts w:hint="eastAsia" w:ascii="宋体" w:hAnsi="宋体" w:eastAsia="宋体" w:cs="宋体"/>
                <w:color w:val="000000"/>
                <w:kern w:val="0"/>
                <w:sz w:val="18"/>
                <w:szCs w:val="18"/>
                <w:lang w:val="en-US" w:eastAsia="zh-CN" w:bidi="ar"/>
              </w:rPr>
              <w:t>/</w:t>
            </w:r>
          </w:p>
        </w:tc>
        <w:tc>
          <w:tcPr>
            <w:tcW w:w="1560"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pStyle w:val="42"/>
        <w:ind w:firstLine="0" w:firstLineChars="0"/>
        <w:rPr>
          <w:rFonts w:asciiTheme="minorEastAsia" w:hAnsiTheme="minorEastAsia"/>
          <w:szCs w:val="21"/>
        </w:rPr>
      </w:pPr>
      <w:r>
        <w:rPr>
          <w:rFonts w:hint="eastAsia" w:asciiTheme="minorEastAsia" w:hAnsiTheme="minorEastAsia"/>
          <w:szCs w:val="21"/>
        </w:rPr>
        <w:t>七、金融工具风险及管理</w:t>
      </w:r>
    </w:p>
    <w:p>
      <w:pPr>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p>
    <w:p>
      <w:pPr>
        <w:ind w:firstLine="420" w:firstLineChars="200"/>
        <w:rPr>
          <w:rFonts w:asciiTheme="minorEastAsia" w:hAnsiTheme="minorEastAsia"/>
        </w:rPr>
      </w:pP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hint="eastAsia" w:asciiTheme="minorEastAsia" w:hAnsiTheme="minorEastAsia"/>
          <w:szCs w:val="21"/>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rPr>
          <w:rFonts w:asciiTheme="minorEastAsia" w:hAnsiTheme="minorEastAsia"/>
          <w:szCs w:val="21"/>
        </w:rPr>
      </w:pPr>
      <w:r>
        <w:rPr>
          <w:rFonts w:hint="eastAsia" w:asciiTheme="minorEastAsia" w:hAnsiTheme="minorEastAsia"/>
          <w:szCs w:val="21"/>
        </w:rPr>
        <w:t xml:space="preserve">    本产品托管人为</w:t>
      </w:r>
      <w:r>
        <w:rPr>
          <w:rFonts w:hint="eastAsia" w:cs="宋体" w:asciiTheme="minorEastAsia" w:hAnsiTheme="minorEastAsia"/>
          <w:kern w:val="0"/>
          <w:lang w:val="en-US" w:eastAsia="zh-CN"/>
        </w:rPr>
        <w:t>兴业</w:t>
      </w:r>
      <w:r>
        <w:rPr>
          <w:rFonts w:hint="eastAsia" w:cs="宋体" w:asciiTheme="minorEastAsia" w:hAnsiTheme="minorEastAsia"/>
          <w:kern w:val="0"/>
        </w:rPr>
        <w:t>银行股份有限公司。</w:t>
      </w:r>
    </w:p>
    <w:p>
      <w:pPr>
        <w:ind w:firstLine="420"/>
        <w:rPr>
          <w:rFonts w:hint="eastAsia" w:asciiTheme="minorEastAsia" w:hAnsiTheme="minorEastAsia"/>
          <w:szCs w:val="21"/>
          <w:lang w:val="en-US" w:eastAsia="zh-CN"/>
        </w:rPr>
      </w:pPr>
      <w:r>
        <w:rPr>
          <w:rFonts w:hint="eastAsia" w:asciiTheme="minorEastAsia" w:hAnsiTheme="minorEastAsia"/>
          <w:szCs w:val="21"/>
          <w:lang w:val="en-US" w:eastAsia="zh-CN"/>
        </w:rPr>
        <w:t>报告期内，托管人严格遵守《商业银行理财业务监督管理办法》及相关法律法规规定、理财产品托管协议约定，诚实信用、谨慎勤勉地履行了托管人义务，不存在损害理财产品投资者利益的行为。</w:t>
      </w:r>
    </w:p>
    <w:p>
      <w:pPr>
        <w:ind w:firstLine="420" w:firstLineChars="200"/>
        <w:rPr>
          <w:rFonts w:hint="eastAsia" w:asciiTheme="minorEastAsia" w:hAnsiTheme="minorEastAsia"/>
          <w:szCs w:val="21"/>
        </w:rPr>
      </w:pPr>
      <w:r>
        <w:rPr>
          <w:rFonts w:hint="eastAsia" w:asciiTheme="minorEastAsia" w:hAnsiTheme="minorEastAsia"/>
          <w:szCs w:val="21"/>
          <w:lang w:val="en-US" w:eastAsia="zh-CN"/>
        </w:rPr>
        <w:t>报告期内，托管人根据国家有关法律法规规定、理财产品托管协议的约定，对管理人在本理财产品的投资运作、资产净值的计算、收益的计算、理财产品费用开支等方面进行了必要的监督、复核和审查，未发现其存在任何损害本理财产品投资者利益的行为。</w:t>
      </w: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w:t>
      </w:r>
      <w:r>
        <w:rPr>
          <w:rFonts w:hint="eastAsia" w:asciiTheme="minorEastAsia" w:hAnsiTheme="minorEastAsia"/>
          <w:szCs w:val="21"/>
          <w:lang w:val="en-US" w:eastAsia="zh-CN"/>
        </w:rPr>
        <w:t>7</w:t>
      </w:r>
      <w:r>
        <w:rPr>
          <w:rFonts w:hint="eastAsia" w:asciiTheme="minorEastAsia" w:hAnsiTheme="minorEastAsia"/>
          <w:szCs w:val="21"/>
        </w:rPr>
        <w:t>月</w:t>
      </w:r>
      <w:r>
        <w:rPr>
          <w:rFonts w:hint="eastAsia" w:asciiTheme="minorEastAsia" w:hAnsiTheme="minorEastAsia"/>
          <w:szCs w:val="21"/>
          <w:lang w:val="en-US" w:eastAsia="zh-CN"/>
        </w:rPr>
        <w:t>21</w:t>
      </w:r>
      <w:bookmarkStart w:id="1" w:name="_GoBack"/>
      <w:bookmarkEnd w:id="1"/>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0BB2"/>
    <w:rsid w:val="00024451"/>
    <w:rsid w:val="00026B24"/>
    <w:rsid w:val="00040B27"/>
    <w:rsid w:val="00042EBD"/>
    <w:rsid w:val="00053B11"/>
    <w:rsid w:val="000603B1"/>
    <w:rsid w:val="00062848"/>
    <w:rsid w:val="0006776D"/>
    <w:rsid w:val="0007621D"/>
    <w:rsid w:val="00083209"/>
    <w:rsid w:val="00084157"/>
    <w:rsid w:val="00086D09"/>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0C7F"/>
    <w:rsid w:val="0012361E"/>
    <w:rsid w:val="00126100"/>
    <w:rsid w:val="00126F10"/>
    <w:rsid w:val="0012724E"/>
    <w:rsid w:val="00127F83"/>
    <w:rsid w:val="001328D2"/>
    <w:rsid w:val="00133C93"/>
    <w:rsid w:val="00135966"/>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87AF4"/>
    <w:rsid w:val="0019521E"/>
    <w:rsid w:val="00197B55"/>
    <w:rsid w:val="001A1E5F"/>
    <w:rsid w:val="001A551E"/>
    <w:rsid w:val="001A5CE5"/>
    <w:rsid w:val="001B2366"/>
    <w:rsid w:val="001B39EF"/>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28C"/>
    <w:rsid w:val="0021436F"/>
    <w:rsid w:val="00216B4B"/>
    <w:rsid w:val="002200D8"/>
    <w:rsid w:val="002203BD"/>
    <w:rsid w:val="002219FA"/>
    <w:rsid w:val="00222087"/>
    <w:rsid w:val="0022244F"/>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042"/>
    <w:rsid w:val="002C0905"/>
    <w:rsid w:val="002C21A9"/>
    <w:rsid w:val="002C2B57"/>
    <w:rsid w:val="002C3560"/>
    <w:rsid w:val="002D2D13"/>
    <w:rsid w:val="002E4291"/>
    <w:rsid w:val="002E7A4B"/>
    <w:rsid w:val="002F1AE3"/>
    <w:rsid w:val="002F4C08"/>
    <w:rsid w:val="002F7419"/>
    <w:rsid w:val="003031C7"/>
    <w:rsid w:val="003068EB"/>
    <w:rsid w:val="0031208C"/>
    <w:rsid w:val="00312A8E"/>
    <w:rsid w:val="003146AA"/>
    <w:rsid w:val="003354AF"/>
    <w:rsid w:val="003358E4"/>
    <w:rsid w:val="00342F5D"/>
    <w:rsid w:val="00344ACB"/>
    <w:rsid w:val="00351472"/>
    <w:rsid w:val="00355281"/>
    <w:rsid w:val="00362E1C"/>
    <w:rsid w:val="00363AAB"/>
    <w:rsid w:val="0036453C"/>
    <w:rsid w:val="003646B3"/>
    <w:rsid w:val="003667E1"/>
    <w:rsid w:val="00367AA2"/>
    <w:rsid w:val="00371EEF"/>
    <w:rsid w:val="003734AD"/>
    <w:rsid w:val="00373963"/>
    <w:rsid w:val="00380690"/>
    <w:rsid w:val="003823D9"/>
    <w:rsid w:val="0038341E"/>
    <w:rsid w:val="003931AB"/>
    <w:rsid w:val="003C08BF"/>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1185"/>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97327"/>
    <w:rsid w:val="004A05EB"/>
    <w:rsid w:val="004B39C9"/>
    <w:rsid w:val="004C10D9"/>
    <w:rsid w:val="004D1D19"/>
    <w:rsid w:val="004E25ED"/>
    <w:rsid w:val="004E2B29"/>
    <w:rsid w:val="004E370E"/>
    <w:rsid w:val="004E512B"/>
    <w:rsid w:val="004F3C11"/>
    <w:rsid w:val="004F4464"/>
    <w:rsid w:val="004F70FE"/>
    <w:rsid w:val="004F7917"/>
    <w:rsid w:val="0052145D"/>
    <w:rsid w:val="00524963"/>
    <w:rsid w:val="00524B02"/>
    <w:rsid w:val="00525883"/>
    <w:rsid w:val="00527D3C"/>
    <w:rsid w:val="00531771"/>
    <w:rsid w:val="00535206"/>
    <w:rsid w:val="00535B3B"/>
    <w:rsid w:val="00543365"/>
    <w:rsid w:val="0054497E"/>
    <w:rsid w:val="00545ECB"/>
    <w:rsid w:val="00550BF9"/>
    <w:rsid w:val="00552B86"/>
    <w:rsid w:val="00552E1F"/>
    <w:rsid w:val="00553E13"/>
    <w:rsid w:val="00555008"/>
    <w:rsid w:val="00556FE8"/>
    <w:rsid w:val="005575C6"/>
    <w:rsid w:val="005648C4"/>
    <w:rsid w:val="0056585B"/>
    <w:rsid w:val="00567B1E"/>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0D98"/>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36885"/>
    <w:rsid w:val="006410A0"/>
    <w:rsid w:val="00654264"/>
    <w:rsid w:val="006555CE"/>
    <w:rsid w:val="00656139"/>
    <w:rsid w:val="00662BCF"/>
    <w:rsid w:val="00665564"/>
    <w:rsid w:val="00665E88"/>
    <w:rsid w:val="00684F21"/>
    <w:rsid w:val="006873E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13B2"/>
    <w:rsid w:val="00706C47"/>
    <w:rsid w:val="007104DF"/>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766B5"/>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05954"/>
    <w:rsid w:val="00820ED4"/>
    <w:rsid w:val="00821AC9"/>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178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66782"/>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289"/>
    <w:rsid w:val="009C6828"/>
    <w:rsid w:val="009D1FFA"/>
    <w:rsid w:val="009D55AF"/>
    <w:rsid w:val="009E1FFA"/>
    <w:rsid w:val="009E40D0"/>
    <w:rsid w:val="009F3F90"/>
    <w:rsid w:val="009F4D6C"/>
    <w:rsid w:val="009F5A75"/>
    <w:rsid w:val="009F5B44"/>
    <w:rsid w:val="009F672A"/>
    <w:rsid w:val="00A04339"/>
    <w:rsid w:val="00A12ECF"/>
    <w:rsid w:val="00A13A07"/>
    <w:rsid w:val="00A200F9"/>
    <w:rsid w:val="00A208DF"/>
    <w:rsid w:val="00A24500"/>
    <w:rsid w:val="00A279EE"/>
    <w:rsid w:val="00A378E2"/>
    <w:rsid w:val="00A523CE"/>
    <w:rsid w:val="00A5570D"/>
    <w:rsid w:val="00A57C24"/>
    <w:rsid w:val="00A6155F"/>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AF7A56"/>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C2B81"/>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4ECD"/>
    <w:rsid w:val="00C663F8"/>
    <w:rsid w:val="00C66701"/>
    <w:rsid w:val="00C668D0"/>
    <w:rsid w:val="00C706F2"/>
    <w:rsid w:val="00C8231F"/>
    <w:rsid w:val="00C8532C"/>
    <w:rsid w:val="00C86003"/>
    <w:rsid w:val="00C930FE"/>
    <w:rsid w:val="00C941EF"/>
    <w:rsid w:val="00C96CE7"/>
    <w:rsid w:val="00C97A13"/>
    <w:rsid w:val="00CA1AA5"/>
    <w:rsid w:val="00CB0063"/>
    <w:rsid w:val="00CB1C17"/>
    <w:rsid w:val="00CC237B"/>
    <w:rsid w:val="00CC4623"/>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C5557"/>
    <w:rsid w:val="00DE3A48"/>
    <w:rsid w:val="00DE5D29"/>
    <w:rsid w:val="00DE66C0"/>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56290"/>
    <w:rsid w:val="00E76A61"/>
    <w:rsid w:val="00E774B0"/>
    <w:rsid w:val="00E902F1"/>
    <w:rsid w:val="00E91304"/>
    <w:rsid w:val="00E93B1B"/>
    <w:rsid w:val="00E9445B"/>
    <w:rsid w:val="00EA0A7C"/>
    <w:rsid w:val="00EA23BD"/>
    <w:rsid w:val="00EA7276"/>
    <w:rsid w:val="00EB034D"/>
    <w:rsid w:val="00EB3F93"/>
    <w:rsid w:val="00EB7E26"/>
    <w:rsid w:val="00EC19D4"/>
    <w:rsid w:val="00EC2920"/>
    <w:rsid w:val="00EC4872"/>
    <w:rsid w:val="00EC7214"/>
    <w:rsid w:val="00EC78AE"/>
    <w:rsid w:val="00ED047A"/>
    <w:rsid w:val="00ED08CE"/>
    <w:rsid w:val="00ED0F9F"/>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35154"/>
    <w:rsid w:val="00F43369"/>
    <w:rsid w:val="00F43E40"/>
    <w:rsid w:val="00F45947"/>
    <w:rsid w:val="00F470D3"/>
    <w:rsid w:val="00F60A5D"/>
    <w:rsid w:val="00F743B0"/>
    <w:rsid w:val="00F80CC5"/>
    <w:rsid w:val="00F93105"/>
    <w:rsid w:val="00FA209D"/>
    <w:rsid w:val="00FA5A55"/>
    <w:rsid w:val="00FB3591"/>
    <w:rsid w:val="00FC1C4F"/>
    <w:rsid w:val="00FC2CA6"/>
    <w:rsid w:val="00FC2CD8"/>
    <w:rsid w:val="00FC4994"/>
    <w:rsid w:val="00FD0741"/>
    <w:rsid w:val="00FE0A1A"/>
    <w:rsid w:val="00FE2121"/>
    <w:rsid w:val="00FE3B42"/>
    <w:rsid w:val="00FE3BDA"/>
    <w:rsid w:val="00FF5916"/>
    <w:rsid w:val="01BB69DA"/>
    <w:rsid w:val="046451CE"/>
    <w:rsid w:val="04CD7D64"/>
    <w:rsid w:val="07C16A08"/>
    <w:rsid w:val="081F1FB9"/>
    <w:rsid w:val="08613963"/>
    <w:rsid w:val="08BA008A"/>
    <w:rsid w:val="09563133"/>
    <w:rsid w:val="099A2105"/>
    <w:rsid w:val="0A990C7F"/>
    <w:rsid w:val="0C88284A"/>
    <w:rsid w:val="0F5F24AA"/>
    <w:rsid w:val="0FB525EE"/>
    <w:rsid w:val="0FC53136"/>
    <w:rsid w:val="109116D6"/>
    <w:rsid w:val="1191437D"/>
    <w:rsid w:val="12931977"/>
    <w:rsid w:val="12BD274E"/>
    <w:rsid w:val="13814A1B"/>
    <w:rsid w:val="145B1C45"/>
    <w:rsid w:val="154F13DA"/>
    <w:rsid w:val="16344310"/>
    <w:rsid w:val="168610F5"/>
    <w:rsid w:val="182721AC"/>
    <w:rsid w:val="18FB1CF2"/>
    <w:rsid w:val="197D5ABF"/>
    <w:rsid w:val="19A54864"/>
    <w:rsid w:val="1AB60040"/>
    <w:rsid w:val="1BDE0CAD"/>
    <w:rsid w:val="1C760FBE"/>
    <w:rsid w:val="1D3F0AD5"/>
    <w:rsid w:val="1D4134E7"/>
    <w:rsid w:val="1D742825"/>
    <w:rsid w:val="1FF23D36"/>
    <w:rsid w:val="21240C5B"/>
    <w:rsid w:val="21ED676D"/>
    <w:rsid w:val="22A30C64"/>
    <w:rsid w:val="22C40D15"/>
    <w:rsid w:val="2350060C"/>
    <w:rsid w:val="23774DFB"/>
    <w:rsid w:val="25E358EE"/>
    <w:rsid w:val="265C67DD"/>
    <w:rsid w:val="26970B26"/>
    <w:rsid w:val="27BD45FF"/>
    <w:rsid w:val="28FE4662"/>
    <w:rsid w:val="29361C2B"/>
    <w:rsid w:val="29774466"/>
    <w:rsid w:val="2A0F4201"/>
    <w:rsid w:val="2AEB1E5A"/>
    <w:rsid w:val="2B8625BE"/>
    <w:rsid w:val="2C37544D"/>
    <w:rsid w:val="2D2B448E"/>
    <w:rsid w:val="2FF34915"/>
    <w:rsid w:val="31721B70"/>
    <w:rsid w:val="3185531A"/>
    <w:rsid w:val="328522BE"/>
    <w:rsid w:val="331E4C1A"/>
    <w:rsid w:val="335601C3"/>
    <w:rsid w:val="33BE755F"/>
    <w:rsid w:val="33F54821"/>
    <w:rsid w:val="34A35803"/>
    <w:rsid w:val="35DB54D6"/>
    <w:rsid w:val="367D56C2"/>
    <w:rsid w:val="37B114AF"/>
    <w:rsid w:val="383E199E"/>
    <w:rsid w:val="399F28EF"/>
    <w:rsid w:val="39BA6599"/>
    <w:rsid w:val="3A422C5A"/>
    <w:rsid w:val="422B2661"/>
    <w:rsid w:val="426224A6"/>
    <w:rsid w:val="42982300"/>
    <w:rsid w:val="42E05A4B"/>
    <w:rsid w:val="43250476"/>
    <w:rsid w:val="44307945"/>
    <w:rsid w:val="453F2A53"/>
    <w:rsid w:val="458B7839"/>
    <w:rsid w:val="45B31BF8"/>
    <w:rsid w:val="472D2614"/>
    <w:rsid w:val="4897220E"/>
    <w:rsid w:val="48C804F4"/>
    <w:rsid w:val="49343EE8"/>
    <w:rsid w:val="49364B27"/>
    <w:rsid w:val="499E1B50"/>
    <w:rsid w:val="4B1E5A56"/>
    <w:rsid w:val="4BC57541"/>
    <w:rsid w:val="4BD47A22"/>
    <w:rsid w:val="4C665F1D"/>
    <w:rsid w:val="4CC0510F"/>
    <w:rsid w:val="4E6C5390"/>
    <w:rsid w:val="4F05414C"/>
    <w:rsid w:val="51EC6135"/>
    <w:rsid w:val="53E9722D"/>
    <w:rsid w:val="572F2943"/>
    <w:rsid w:val="57D83C46"/>
    <w:rsid w:val="586214C2"/>
    <w:rsid w:val="590A25B0"/>
    <w:rsid w:val="59D506C6"/>
    <w:rsid w:val="5A622306"/>
    <w:rsid w:val="5AB01723"/>
    <w:rsid w:val="5D5E2859"/>
    <w:rsid w:val="5F3B5224"/>
    <w:rsid w:val="60313C29"/>
    <w:rsid w:val="621F0476"/>
    <w:rsid w:val="6230351A"/>
    <w:rsid w:val="6384034B"/>
    <w:rsid w:val="63D37DC1"/>
    <w:rsid w:val="654D0A83"/>
    <w:rsid w:val="671D7CC1"/>
    <w:rsid w:val="687C70C4"/>
    <w:rsid w:val="69074462"/>
    <w:rsid w:val="695E0C31"/>
    <w:rsid w:val="6C9B0C01"/>
    <w:rsid w:val="6D5B3725"/>
    <w:rsid w:val="6E546A74"/>
    <w:rsid w:val="6FA67F07"/>
    <w:rsid w:val="72122435"/>
    <w:rsid w:val="73322D14"/>
    <w:rsid w:val="74717AB9"/>
    <w:rsid w:val="74E3218F"/>
    <w:rsid w:val="75736568"/>
    <w:rsid w:val="773E6275"/>
    <w:rsid w:val="788C0951"/>
    <w:rsid w:val="78C3218A"/>
    <w:rsid w:val="79882DEC"/>
    <w:rsid w:val="79FE5971"/>
    <w:rsid w:val="7B1860A1"/>
    <w:rsid w:val="7B3E0D17"/>
    <w:rsid w:val="7BA6096B"/>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EF9F37-4E54-441B-97D9-CAE53A2FD9F8}">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157</Words>
  <Characters>898</Characters>
  <Lines>7</Lines>
  <Paragraphs>2</Paragraphs>
  <TotalTime>0</TotalTime>
  <ScaleCrop>false</ScaleCrop>
  <LinksUpToDate>false</LinksUpToDate>
  <CharactersWithSpaces>1053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2021-07-21T02:10:06Z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93931E2963524D42B4D076DECFE9FC81</vt:lpwstr>
  </property>
</Properties>
</file>