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宋体" w:hAnsi="宋体" w:eastAsia="宋体" w:cs="宋体"/>
          <w:b/>
          <w:sz w:val="32"/>
          <w:szCs w:val="32"/>
        </w:rPr>
        <w:t>重庆农村商业银行</w:t>
      </w:r>
      <w:r>
        <w:rPr>
          <w:rFonts w:hint="eastAsia" w:ascii="宋体" w:hAnsi="宋体" w:eastAsia="宋体" w:cs="宋体"/>
          <w:b/>
          <w:color w:val="auto"/>
          <w:sz w:val="32"/>
          <w:u w:val="none"/>
        </w:rPr>
        <w:t>江渝财富“天添金”2020年第506期公募封闭式净值型2021年第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jc w:val="cente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江渝财富“天添金”2020年第506期公募封闭式净值型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12020506GFJ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209,496,000.00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2022年8月19日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03004173774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2021年9月30日</w:t>
            </w:r>
            <w:r>
              <w:rPr>
                <w:rFonts w:ascii="宋体" w:hAnsi="宋体" w:eastAsia="宋体" w:cs="宋体"/>
                <w:color w:val="000000"/>
                <w:kern w:val="0"/>
                <w:sz w:val="18"/>
                <w:szCs w:val="18"/>
                <w:lang w:bidi="ar"/>
              </w:rPr>
              <w:t xml:space="preserve"> </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219,668,173.50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1.0485</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7"/>
        <w:gridCol w:w="2328"/>
        <w:gridCol w:w="1568"/>
        <w:gridCol w:w="1335"/>
        <w:gridCol w:w="1194"/>
        <w:gridCol w:w="1201"/>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4" w:type="dxa"/>
            <w:vMerge w:val="restart"/>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17" w:type="dxa"/>
            <w:vMerge w:val="restart"/>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89" w:type="dxa"/>
            <w:gridSpan w:val="2"/>
            <w:vMerge w:val="restart"/>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383" w:type="dxa"/>
            <w:gridSpan w:val="2"/>
            <w:vMerge w:val="restart"/>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4" w:type="dxa"/>
            <w:vMerge w:val="continue"/>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17" w:type="dxa"/>
            <w:vMerge w:val="continue"/>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89" w:type="dxa"/>
            <w:gridSpan w:val="2"/>
            <w:vMerge w:val="continue"/>
            <w:shd w:val="clear" w:color="auto" w:fill="auto"/>
            <w:tcMar>
              <w:top w:w="15" w:type="dxa"/>
              <w:left w:w="15" w:type="dxa"/>
              <w:right w:w="15" w:type="dxa"/>
            </w:tcMar>
          </w:tcPr>
          <w:p>
            <w:pPr>
              <w:jc w:val="center"/>
              <w:rPr>
                <w:rFonts w:ascii="宋体" w:hAnsi="宋体" w:eastAsia="宋体" w:cs="宋体"/>
                <w:bCs/>
                <w:sz w:val="18"/>
                <w:szCs w:val="18"/>
              </w:rPr>
            </w:pPr>
          </w:p>
        </w:tc>
        <w:tc>
          <w:tcPr>
            <w:tcW w:w="2383" w:type="dxa"/>
            <w:gridSpan w:val="2"/>
            <w:vMerge w:val="continue"/>
            <w:shd w:val="clear" w:color="auto" w:fill="auto"/>
            <w:tcMar>
              <w:top w:w="15" w:type="dxa"/>
              <w:left w:w="15" w:type="dxa"/>
              <w:right w:w="15" w:type="dxa"/>
            </w:tcMar>
          </w:tcPr>
          <w:p>
            <w:pPr>
              <w:jc w:val="center"/>
              <w:rPr>
                <w:rFonts w:ascii="宋体" w:hAnsi="宋体" w:eastAsia="宋体" w:cs="宋体"/>
                <w:bCs/>
                <w:sz w:val="18"/>
                <w:szCs w:val="1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vMerge w:val="continue"/>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17" w:type="dxa"/>
            <w:vMerge w:val="continue"/>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560" w:type="dxa"/>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29" w:type="dxa"/>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188" w:type="dxa"/>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5" w:type="dxa"/>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固定收益类</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223,021,086.75</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1.1</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其中：债券</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214,612,386.14</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96.23</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1.2</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一般债权</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1.3</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资产支持证券</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1.4</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 xml:space="preserve">  现金及货币工具</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8,408,700.61</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3.77</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2</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权益类</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3</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商品及金融衍生类</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4</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混合类</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704" w:type="dxa"/>
            <w:shd w:val="clear" w:color="auto" w:fill="auto"/>
            <w:tcMar>
              <w:top w:w="15" w:type="dxa"/>
              <w:left w:w="15" w:type="dxa"/>
              <w:right w:w="15" w:type="dxa"/>
            </w:tcMar>
            <w:vAlign w:val="center"/>
          </w:tcPr>
          <w:p>
            <w:pPr>
              <w:jc w:val="center"/>
              <w:rPr>
                <w:rFonts w:ascii="宋体" w:hAnsi="宋体" w:eastAsia="宋体" w:cs="宋体"/>
                <w:bCs/>
                <w:sz w:val="18"/>
                <w:szCs w:val="18"/>
              </w:rPr>
            </w:pPr>
            <w:r>
              <w:t>5</w:t>
            </w:r>
          </w:p>
        </w:tc>
        <w:tc>
          <w:tcPr>
            <w:tcW w:w="2317" w:type="dxa"/>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kern w:val="0"/>
                <w:sz w:val="18"/>
                <w:szCs w:val="18"/>
                <w:lang w:bidi="ar"/>
              </w:rPr>
            </w:pPr>
            <w:r>
              <w:t>合计</w:t>
            </w:r>
          </w:p>
        </w:tc>
        <w:tc>
          <w:tcPr>
            <w:tcW w:w="15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223,021,086.75</w:t>
            </w:r>
          </w:p>
        </w:tc>
        <w:tc>
          <w:tcPr>
            <w:tcW w:w="1329"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188"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19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18南川城投PPN001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20,147,808.22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19双福建设PPN001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19,972,800.00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17重庆旅投MTN001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19,400,880.70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18奇瑞徽银汽车02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18,912,427.40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17新津国投PPN001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18,733,107.84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19新海连PPN001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18,689,178.08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19涪陵交通PPN001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18,654,825.21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19潍坊滨投PPN001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18,557,260.27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17渝豪江MTN001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18,467,797.05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25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19嘉兴经技PPN001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17,565,890.41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7.88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222" w:type="dxa"/>
        <w:tblInd w:w="-5" w:type="dxa"/>
        <w:tblLayout w:type="fixed"/>
        <w:tblCellMar>
          <w:top w:w="0" w:type="dxa"/>
          <w:left w:w="0" w:type="dxa"/>
          <w:bottom w:w="0" w:type="dxa"/>
          <w:right w:w="0" w:type="dxa"/>
        </w:tblCellMar>
      </w:tblPr>
      <w:tblGrid>
        <w:gridCol w:w="709"/>
        <w:gridCol w:w="1843"/>
        <w:gridCol w:w="992"/>
        <w:gridCol w:w="992"/>
        <w:gridCol w:w="851"/>
        <w:gridCol w:w="850"/>
        <w:gridCol w:w="1134"/>
        <w:gridCol w:w="851"/>
      </w:tblGrid>
      <w:tr>
        <w:trPr>
          <w:trHeight w:val="465" w:hRule="atLeast"/>
        </w:trPr>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50"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851" w:type="dxa"/>
            <w:tcBorders>
              <w:top w:val="single" w:color="auto" w:sz="4" w:space="0"/>
              <w:left w:val="single" w:color="auto" w:sz="4" w:space="0"/>
              <w:bottom w:val="single" w:color="auto" w:sz="4" w:space="0"/>
              <w:right w:val="single" w:color="auto" w:sz="4" w:space="0"/>
            </w:tcBorders>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rPr>
                <w:rFonts w:ascii="宋体" w:hAnsi="宋体" w:eastAsia="宋体"/>
                <w:sz w:val="18"/>
                <w:szCs w:val="18"/>
              </w:rPr>
            </w:pPr>
            <w:r>
              <w:t>/</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center"/>
              <w:textAlignment w:val="top"/>
              <w:rPr>
                <w:rFonts w:hint="eastAsia" w:ascii="宋体" w:hAnsi="宋体" w:eastAsia="宋体" w:cs="宋体"/>
                <w:color w:val="000000"/>
                <w:kern w:val="0"/>
                <w:sz w:val="18"/>
                <w:szCs w:val="18"/>
                <w:lang w:bidi="ar"/>
              </w:rPr>
            </w:pPr>
            <w:r>
              <w:t>/</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center"/>
              <w:textAlignment w:val="top"/>
              <w:rPr>
                <w:rFonts w:hint="eastAsia" w:ascii="宋体" w:hAnsi="宋体" w:eastAsia="宋体" w:cs="宋体"/>
                <w:color w:val="000000"/>
                <w:kern w:val="0"/>
                <w:sz w:val="18"/>
                <w:szCs w:val="18"/>
                <w:lang w:bidi="ar"/>
              </w:rPr>
            </w:pPr>
            <w:r>
              <w:t>/</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center"/>
              <w:textAlignment w:val="top"/>
              <w:rPr>
                <w:rFonts w:hint="eastAsia" w:ascii="宋体" w:hAnsi="宋体" w:eastAsia="宋体" w:cs="宋体"/>
                <w:color w:val="000000"/>
                <w:kern w:val="0"/>
                <w:sz w:val="18"/>
                <w:szCs w:val="18"/>
                <w:lang w:bidi="ar"/>
              </w:rPr>
            </w:pPr>
            <w:r>
              <w:t>/</w:t>
            </w:r>
          </w:p>
        </w:tc>
        <w:tc>
          <w:tcPr>
            <w:tcW w:w="850" w:type="dxa"/>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宋体" w:hAnsi="宋体" w:eastAsia="宋体" w:cs="宋体"/>
                <w:color w:val="000000"/>
                <w:kern w:val="0"/>
                <w:sz w:val="18"/>
                <w:szCs w:val="18"/>
                <w:lang w:bidi="ar"/>
              </w:rPr>
            </w:pPr>
            <w:r>
              <w:t>/</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center"/>
              <w:textAlignment w:val="top"/>
              <w:rPr>
                <w:rFonts w:hint="eastAsia" w:ascii="宋体" w:hAnsi="宋体" w:eastAsia="宋体" w:cs="宋体"/>
                <w:color w:val="000000"/>
                <w:kern w:val="0"/>
                <w:sz w:val="18"/>
                <w:szCs w:val="18"/>
                <w:lang w:bidi="ar"/>
              </w:rPr>
            </w:pPr>
            <w:r>
              <w:t>/</w:t>
            </w:r>
          </w:p>
        </w:tc>
        <w:tc>
          <w:tcPr>
            <w:tcW w:w="851" w:type="dxa"/>
            <w:tcBorders>
              <w:top w:val="single" w:color="auto" w:sz="4" w:space="0"/>
              <w:left w:val="single" w:color="auto" w:sz="4" w:space="0"/>
              <w:bottom w:val="single" w:color="auto" w:sz="4" w:space="0"/>
              <w:right w:val="single" w:color="auto" w:sz="4" w:space="0"/>
            </w:tcBorders>
          </w:tcPr>
          <w:p>
            <w:pPr>
              <w:widowControl/>
              <w:jc w:val="center"/>
              <w:textAlignment w:val="top"/>
              <w:rPr>
                <w:rFonts w:hint="eastAsia"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1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t>/</w:t>
            </w:r>
          </w:p>
        </w:tc>
        <w:tc>
          <w:tcPr>
            <w:tcW w:w="1418"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275"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245"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154"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052" w:type="dxa"/>
            <w:vAlign w:val="center"/>
          </w:tcPr>
          <w:p>
            <w:pPr>
              <w:widowControl/>
              <w:jc w:val="center"/>
              <w:textAlignment w:val="top"/>
              <w:rPr>
                <w:rFonts w:hint="eastAsia" w:ascii="宋体" w:hAnsi="宋体" w:eastAsia="宋体" w:cs="宋体"/>
                <w:color w:val="000000"/>
                <w:kern w:val="0"/>
                <w:sz w:val="18"/>
                <w:szCs w:val="18"/>
                <w:lang w:bidi="ar"/>
              </w:rPr>
            </w:pPr>
            <w:r>
              <w:t>/</w:t>
            </w:r>
          </w:p>
        </w:tc>
        <w:tc>
          <w:tcPr>
            <w:tcW w:w="1516" w:type="dxa"/>
            <w:vAlign w:val="bottom"/>
          </w:tcPr>
          <w:p>
            <w:pPr>
              <w:widowControl/>
              <w:jc w:val="center"/>
              <w:textAlignment w:val="top"/>
              <w:rPr>
                <w:rFonts w:hint="eastAsia" w:ascii="宋体" w:hAnsi="宋体" w:eastAsia="宋体" w:cs="宋体"/>
                <w:color w:val="000000"/>
                <w:kern w:val="0"/>
                <w:sz w:val="18"/>
                <w:szCs w:val="18"/>
                <w:lang w:bidi="ar"/>
              </w:rP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2"/>
        <w:gridCol w:w="1985"/>
        <w:gridCol w:w="1276"/>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asciiTheme="minorEastAsia" w:hAnsiTheme="minorEastAsia"/>
                <w:sz w:val="18"/>
                <w:szCs w:val="18"/>
              </w:rPr>
            </w:pPr>
            <w:r>
              <w:t>/</w:t>
            </w:r>
          </w:p>
        </w:tc>
        <w:tc>
          <w:tcPr>
            <w:tcW w:w="1422" w:type="dxa"/>
          </w:tcPr>
          <w:p>
            <w:pPr>
              <w:widowControl/>
              <w:jc w:val="center"/>
              <w:textAlignment w:val="top"/>
              <w:rPr>
                <w:rFonts w:hint="eastAsia" w:ascii="宋体" w:hAnsi="宋体" w:eastAsia="宋体" w:cs="宋体"/>
                <w:color w:val="000000"/>
                <w:kern w:val="0"/>
                <w:sz w:val="18"/>
                <w:szCs w:val="18"/>
                <w:lang w:bidi="ar"/>
              </w:rPr>
            </w:pPr>
            <w:r>
              <w:t>/</w:t>
            </w:r>
          </w:p>
        </w:tc>
        <w:tc>
          <w:tcPr>
            <w:tcW w:w="1985" w:type="dxa"/>
          </w:tcPr>
          <w:p>
            <w:pPr>
              <w:widowControl/>
              <w:jc w:val="center"/>
              <w:textAlignment w:val="top"/>
              <w:rPr>
                <w:rFonts w:hint="eastAsia" w:ascii="宋体" w:hAnsi="宋体" w:eastAsia="宋体" w:cs="宋体"/>
                <w:color w:val="000000"/>
                <w:kern w:val="0"/>
                <w:sz w:val="18"/>
                <w:szCs w:val="18"/>
                <w:lang w:bidi="ar"/>
              </w:rPr>
            </w:pPr>
            <w:r>
              <w:t>/</w:t>
            </w:r>
          </w:p>
        </w:tc>
        <w:tc>
          <w:tcPr>
            <w:tcW w:w="1276" w:type="dxa"/>
          </w:tcPr>
          <w:p>
            <w:pPr>
              <w:widowControl/>
              <w:jc w:val="center"/>
              <w:textAlignment w:val="top"/>
              <w:rPr>
                <w:rFonts w:hint="eastAsia" w:ascii="宋体" w:hAnsi="宋体" w:eastAsia="宋体" w:cs="宋体"/>
                <w:color w:val="000000"/>
                <w:kern w:val="0"/>
                <w:sz w:val="18"/>
                <w:szCs w:val="18"/>
                <w:lang w:bidi="ar"/>
              </w:rPr>
            </w:pPr>
            <w:r>
              <w:t>/</w:t>
            </w:r>
          </w:p>
        </w:tc>
        <w:tc>
          <w:tcPr>
            <w:tcW w:w="1417" w:type="dxa"/>
          </w:tcPr>
          <w:p>
            <w:pPr>
              <w:widowControl/>
              <w:jc w:val="center"/>
              <w:textAlignment w:val="top"/>
              <w:rPr>
                <w:rFonts w:hint="eastAsia" w:ascii="宋体" w:hAnsi="宋体" w:eastAsia="宋体" w:cs="宋体"/>
                <w:color w:val="000000"/>
                <w:kern w:val="0"/>
                <w:sz w:val="18"/>
                <w:szCs w:val="18"/>
                <w:lang w:bidi="ar"/>
              </w:rPr>
            </w:pPr>
            <w:r>
              <w:t>/</w:t>
            </w:r>
          </w:p>
        </w:tc>
        <w:tc>
          <w:tcPr>
            <w:tcW w:w="1560" w:type="dxa"/>
          </w:tcPr>
          <w:p>
            <w:pPr>
              <w:widowControl/>
              <w:jc w:val="center"/>
              <w:textAlignment w:val="top"/>
              <w:rPr>
                <w:rFonts w:hint="eastAsia" w:ascii="宋体" w:hAnsi="宋体" w:eastAsia="宋体" w:cs="宋体"/>
                <w:color w:val="000000"/>
                <w:kern w:val="0"/>
                <w:sz w:val="18"/>
                <w:szCs w:val="18"/>
                <w:lang w:bidi="ar"/>
              </w:rPr>
            </w:pPr>
            <w:r>
              <w:t>/</w:t>
            </w:r>
          </w:p>
        </w:tc>
      </w:tr>
    </w:tbl>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firstLineChars="200"/>
        <w:rPr>
          <w:rFonts w:hint="eastAsia" w:asciiTheme="minorEastAsia" w:hAnsiTheme="minorEastAsia"/>
          <w:szCs w:val="21"/>
        </w:rPr>
      </w:pPr>
    </w:p>
    <w:p>
      <w:pPr>
        <w:rPr>
          <w:rFonts w:hint="eastAsia" w:asciiTheme="minorEastAsia" w:hAnsiTheme="minorEastAsia"/>
          <w:szCs w:val="21"/>
          <w:lang w:val="en-US" w:eastAsia="zh-CN"/>
        </w:rPr>
      </w:pPr>
      <w:r>
        <w:rPr>
          <w:rFonts w:hint="eastAsia" w:asciiTheme="minorEastAsia" w:hAnsiTheme="minorEastAsia"/>
          <w:szCs w:val="21"/>
          <w:lang w:val="en-US" w:eastAsia="zh-CN"/>
        </w:rPr>
        <w:t>九、托管人报告</w:t>
      </w:r>
    </w:p>
    <w:p>
      <w:pPr>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szCs w:val="21"/>
        </w:rPr>
        <w:t>本产品托管人为</w:t>
      </w:r>
      <w:r>
        <w:rPr>
          <w:rFonts w:hint="eastAsia" w:cs="宋体" w:asciiTheme="minorEastAsia" w:hAnsiTheme="minorEastAsia"/>
          <w:kern w:val="0"/>
          <w:lang w:val="en-US" w:eastAsia="zh-CN"/>
        </w:rPr>
        <w:t>上海</w:t>
      </w:r>
      <w:r>
        <w:rPr>
          <w:rFonts w:hint="eastAsia" w:cs="宋体" w:asciiTheme="minorEastAsia" w:hAnsiTheme="minorEastAsia"/>
          <w:kern w:val="0"/>
        </w:rPr>
        <w:t>银行股份有限公司。</w:t>
      </w:r>
    </w:p>
    <w:p>
      <w:pPr>
        <w:ind w:firstLine="420"/>
        <w:rPr>
          <w:rFonts w:hint="eastAsia" w:asciiTheme="minorEastAsia" w:hAnsiTheme="minorEastAsia"/>
          <w:szCs w:val="21"/>
          <w:lang w:val="en-US" w:eastAsia="zh-CN"/>
        </w:rPr>
      </w:pPr>
      <w:r>
        <w:rPr>
          <w:rFonts w:hint="eastAsia" w:asciiTheme="minorEastAsia" w:hAnsiTheme="minorEastAsia"/>
          <w:szCs w:val="21"/>
          <w:lang w:val="en-US" w:eastAsia="zh-CN"/>
        </w:rPr>
        <w:t>报告期内，托管人在对本理财产品的托管过程中，严格遵守《商业银行理财业务监督管理办法》等法律、法规及其他相关规定，诚实信用、谨慎勤勉地履行了托管人义务，不存在任何损害理财产品投资者利益的行为。</w:t>
      </w:r>
    </w:p>
    <w:p>
      <w:pPr>
        <w:rPr>
          <w:rFonts w:hint="default" w:asciiTheme="minorEastAsia" w:hAnsiTheme="minorEastAsia"/>
          <w:szCs w:val="21"/>
          <w:lang w:val="en-US" w:eastAsia="zh-CN"/>
        </w:rPr>
      </w:pPr>
      <w:r>
        <w:rPr>
          <w:rFonts w:hint="eastAsia" w:asciiTheme="minorEastAsia" w:hAnsiTheme="minorEastAsia"/>
          <w:szCs w:val="21"/>
          <w:lang w:val="en-US" w:eastAsia="zh-CN"/>
        </w:rPr>
        <w:t>报告期内，托管人根据国家有关规定及《托管协议》的有关约定，对管理人在本理财产品的投资运作、资产净值的计算、收益的计算、理财产品费用开支等方面进行了必要的监督、复核和审查，未发现其存在任何损害本理财产品投资者利益的行为。</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6C19"/>
    <w:rsid w:val="000E7ACF"/>
    <w:rsid w:val="000F03F3"/>
    <w:rsid w:val="000F4806"/>
    <w:rsid w:val="00103BAE"/>
    <w:rsid w:val="00103FF4"/>
    <w:rsid w:val="00106105"/>
    <w:rsid w:val="0010706F"/>
    <w:rsid w:val="001113EA"/>
    <w:rsid w:val="001138DE"/>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39D4"/>
    <w:rsid w:val="00175C7E"/>
    <w:rsid w:val="00180D75"/>
    <w:rsid w:val="00181D4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E5A28"/>
    <w:rsid w:val="001E6A1D"/>
    <w:rsid w:val="001F0F15"/>
    <w:rsid w:val="001F292F"/>
    <w:rsid w:val="001F29AC"/>
    <w:rsid w:val="001F31BD"/>
    <w:rsid w:val="001F7396"/>
    <w:rsid w:val="002007BD"/>
    <w:rsid w:val="00205D50"/>
    <w:rsid w:val="00206886"/>
    <w:rsid w:val="002104D6"/>
    <w:rsid w:val="00211BAB"/>
    <w:rsid w:val="0021254D"/>
    <w:rsid w:val="0021287B"/>
    <w:rsid w:val="0021428C"/>
    <w:rsid w:val="0021436F"/>
    <w:rsid w:val="00216B4B"/>
    <w:rsid w:val="002200D8"/>
    <w:rsid w:val="002203BD"/>
    <w:rsid w:val="002219FA"/>
    <w:rsid w:val="00222087"/>
    <w:rsid w:val="0022244F"/>
    <w:rsid w:val="00225427"/>
    <w:rsid w:val="0023328C"/>
    <w:rsid w:val="00240E45"/>
    <w:rsid w:val="00250E8A"/>
    <w:rsid w:val="002518F4"/>
    <w:rsid w:val="00256C74"/>
    <w:rsid w:val="002668B5"/>
    <w:rsid w:val="00271536"/>
    <w:rsid w:val="00274B57"/>
    <w:rsid w:val="00277E0A"/>
    <w:rsid w:val="002834D8"/>
    <w:rsid w:val="002848FE"/>
    <w:rsid w:val="00287808"/>
    <w:rsid w:val="002904E7"/>
    <w:rsid w:val="00292131"/>
    <w:rsid w:val="00295D49"/>
    <w:rsid w:val="0029689A"/>
    <w:rsid w:val="002A4E01"/>
    <w:rsid w:val="002A6307"/>
    <w:rsid w:val="002A79B5"/>
    <w:rsid w:val="002B1F64"/>
    <w:rsid w:val="002B3F59"/>
    <w:rsid w:val="002B4841"/>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221D7"/>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13BE"/>
    <w:rsid w:val="0045278B"/>
    <w:rsid w:val="00453DE1"/>
    <w:rsid w:val="00454961"/>
    <w:rsid w:val="004549D0"/>
    <w:rsid w:val="00460003"/>
    <w:rsid w:val="004618F0"/>
    <w:rsid w:val="00463328"/>
    <w:rsid w:val="00464004"/>
    <w:rsid w:val="004665A3"/>
    <w:rsid w:val="0046691B"/>
    <w:rsid w:val="00470845"/>
    <w:rsid w:val="00470ABA"/>
    <w:rsid w:val="00471CFD"/>
    <w:rsid w:val="00472E27"/>
    <w:rsid w:val="00476183"/>
    <w:rsid w:val="00496024"/>
    <w:rsid w:val="00497327"/>
    <w:rsid w:val="004A05EB"/>
    <w:rsid w:val="004B39C9"/>
    <w:rsid w:val="004C10D9"/>
    <w:rsid w:val="004D10D6"/>
    <w:rsid w:val="004E25ED"/>
    <w:rsid w:val="004E2B29"/>
    <w:rsid w:val="004E370E"/>
    <w:rsid w:val="004E512B"/>
    <w:rsid w:val="004F3C11"/>
    <w:rsid w:val="004F4464"/>
    <w:rsid w:val="004F70FE"/>
    <w:rsid w:val="004F7917"/>
    <w:rsid w:val="00514058"/>
    <w:rsid w:val="0052145D"/>
    <w:rsid w:val="00524963"/>
    <w:rsid w:val="00524B02"/>
    <w:rsid w:val="00525883"/>
    <w:rsid w:val="00527D3C"/>
    <w:rsid w:val="00531771"/>
    <w:rsid w:val="00535206"/>
    <w:rsid w:val="00535B3B"/>
    <w:rsid w:val="00543365"/>
    <w:rsid w:val="0054497E"/>
    <w:rsid w:val="00545092"/>
    <w:rsid w:val="00545ECB"/>
    <w:rsid w:val="00550BF9"/>
    <w:rsid w:val="00552B86"/>
    <w:rsid w:val="00552E1F"/>
    <w:rsid w:val="00553E13"/>
    <w:rsid w:val="00555008"/>
    <w:rsid w:val="005575C6"/>
    <w:rsid w:val="005648C4"/>
    <w:rsid w:val="0056585B"/>
    <w:rsid w:val="00567B1E"/>
    <w:rsid w:val="00577F9A"/>
    <w:rsid w:val="00580EA0"/>
    <w:rsid w:val="00585E01"/>
    <w:rsid w:val="00586C8B"/>
    <w:rsid w:val="00592A99"/>
    <w:rsid w:val="005A0661"/>
    <w:rsid w:val="005A0C8C"/>
    <w:rsid w:val="005B078D"/>
    <w:rsid w:val="005B633C"/>
    <w:rsid w:val="005C0717"/>
    <w:rsid w:val="005C2008"/>
    <w:rsid w:val="005C3E3A"/>
    <w:rsid w:val="005C59EF"/>
    <w:rsid w:val="005D01F6"/>
    <w:rsid w:val="005D2400"/>
    <w:rsid w:val="005D3C17"/>
    <w:rsid w:val="005E0D98"/>
    <w:rsid w:val="005F0E8C"/>
    <w:rsid w:val="005F1030"/>
    <w:rsid w:val="005F5D26"/>
    <w:rsid w:val="00602607"/>
    <w:rsid w:val="006046E4"/>
    <w:rsid w:val="00605306"/>
    <w:rsid w:val="00605CEA"/>
    <w:rsid w:val="0060692C"/>
    <w:rsid w:val="006111B9"/>
    <w:rsid w:val="00612EBF"/>
    <w:rsid w:val="006145BE"/>
    <w:rsid w:val="00617B09"/>
    <w:rsid w:val="00620052"/>
    <w:rsid w:val="00621DF4"/>
    <w:rsid w:val="00623D61"/>
    <w:rsid w:val="00626F12"/>
    <w:rsid w:val="0063333D"/>
    <w:rsid w:val="006338C5"/>
    <w:rsid w:val="00634766"/>
    <w:rsid w:val="00636348"/>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B6D5D"/>
    <w:rsid w:val="006C1E04"/>
    <w:rsid w:val="006C6F03"/>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160F"/>
    <w:rsid w:val="00752739"/>
    <w:rsid w:val="00753E45"/>
    <w:rsid w:val="007547CD"/>
    <w:rsid w:val="007565E8"/>
    <w:rsid w:val="0077183C"/>
    <w:rsid w:val="0077513C"/>
    <w:rsid w:val="00783E1C"/>
    <w:rsid w:val="007845E4"/>
    <w:rsid w:val="00786D4D"/>
    <w:rsid w:val="00790BD5"/>
    <w:rsid w:val="00795983"/>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13D8"/>
    <w:rsid w:val="00873FE4"/>
    <w:rsid w:val="00875C6B"/>
    <w:rsid w:val="0087688C"/>
    <w:rsid w:val="00881E36"/>
    <w:rsid w:val="00882566"/>
    <w:rsid w:val="008914A2"/>
    <w:rsid w:val="00891941"/>
    <w:rsid w:val="00892417"/>
    <w:rsid w:val="0089371A"/>
    <w:rsid w:val="00893D93"/>
    <w:rsid w:val="0089457A"/>
    <w:rsid w:val="008A0F30"/>
    <w:rsid w:val="008A1CC7"/>
    <w:rsid w:val="008A41A3"/>
    <w:rsid w:val="008B143D"/>
    <w:rsid w:val="008B32F5"/>
    <w:rsid w:val="008C02FE"/>
    <w:rsid w:val="008C16A7"/>
    <w:rsid w:val="008D5529"/>
    <w:rsid w:val="008E5678"/>
    <w:rsid w:val="008F0D3A"/>
    <w:rsid w:val="008F1788"/>
    <w:rsid w:val="008F7322"/>
    <w:rsid w:val="00900EF7"/>
    <w:rsid w:val="00902F2A"/>
    <w:rsid w:val="009052BB"/>
    <w:rsid w:val="00905377"/>
    <w:rsid w:val="009172EA"/>
    <w:rsid w:val="00920AB8"/>
    <w:rsid w:val="00921741"/>
    <w:rsid w:val="009219B4"/>
    <w:rsid w:val="009221C2"/>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D7574"/>
    <w:rsid w:val="009E1FFA"/>
    <w:rsid w:val="009E40D0"/>
    <w:rsid w:val="009F3F90"/>
    <w:rsid w:val="009F4D6C"/>
    <w:rsid w:val="009F5A75"/>
    <w:rsid w:val="009F5B44"/>
    <w:rsid w:val="009F672A"/>
    <w:rsid w:val="00A04339"/>
    <w:rsid w:val="00A12ECF"/>
    <w:rsid w:val="00A13A07"/>
    <w:rsid w:val="00A200F9"/>
    <w:rsid w:val="00A208DF"/>
    <w:rsid w:val="00A22C7B"/>
    <w:rsid w:val="00A24500"/>
    <w:rsid w:val="00A279EE"/>
    <w:rsid w:val="00A378E2"/>
    <w:rsid w:val="00A523CE"/>
    <w:rsid w:val="00A5570D"/>
    <w:rsid w:val="00A57C24"/>
    <w:rsid w:val="00A6155F"/>
    <w:rsid w:val="00A64E0D"/>
    <w:rsid w:val="00A6529C"/>
    <w:rsid w:val="00A75588"/>
    <w:rsid w:val="00A847C5"/>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E6152"/>
    <w:rsid w:val="00AF0718"/>
    <w:rsid w:val="00AF4D44"/>
    <w:rsid w:val="00B01B41"/>
    <w:rsid w:val="00B027B8"/>
    <w:rsid w:val="00B05356"/>
    <w:rsid w:val="00B070D8"/>
    <w:rsid w:val="00B07629"/>
    <w:rsid w:val="00B14D7A"/>
    <w:rsid w:val="00B15A5C"/>
    <w:rsid w:val="00B22695"/>
    <w:rsid w:val="00B247A2"/>
    <w:rsid w:val="00B25644"/>
    <w:rsid w:val="00B302B4"/>
    <w:rsid w:val="00B33DEF"/>
    <w:rsid w:val="00B37F6A"/>
    <w:rsid w:val="00B44BC4"/>
    <w:rsid w:val="00B44EAF"/>
    <w:rsid w:val="00B451D8"/>
    <w:rsid w:val="00B45EEA"/>
    <w:rsid w:val="00B47120"/>
    <w:rsid w:val="00B5201B"/>
    <w:rsid w:val="00B602E1"/>
    <w:rsid w:val="00B63D62"/>
    <w:rsid w:val="00B63D97"/>
    <w:rsid w:val="00B73F0A"/>
    <w:rsid w:val="00B74D34"/>
    <w:rsid w:val="00B7566F"/>
    <w:rsid w:val="00B765E7"/>
    <w:rsid w:val="00B774C4"/>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243E3"/>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1F2C"/>
    <w:rsid w:val="00DE3A48"/>
    <w:rsid w:val="00DE5D29"/>
    <w:rsid w:val="00DE6312"/>
    <w:rsid w:val="00DE66C0"/>
    <w:rsid w:val="00DF019A"/>
    <w:rsid w:val="00DF24CA"/>
    <w:rsid w:val="00DF4EE9"/>
    <w:rsid w:val="00DF7157"/>
    <w:rsid w:val="00E01002"/>
    <w:rsid w:val="00E05DA8"/>
    <w:rsid w:val="00E064F9"/>
    <w:rsid w:val="00E065CE"/>
    <w:rsid w:val="00E069F5"/>
    <w:rsid w:val="00E1398D"/>
    <w:rsid w:val="00E16DA8"/>
    <w:rsid w:val="00E220C3"/>
    <w:rsid w:val="00E22307"/>
    <w:rsid w:val="00E2529F"/>
    <w:rsid w:val="00E2548E"/>
    <w:rsid w:val="00E273B7"/>
    <w:rsid w:val="00E31070"/>
    <w:rsid w:val="00E343C0"/>
    <w:rsid w:val="00E44CEA"/>
    <w:rsid w:val="00E46E13"/>
    <w:rsid w:val="00E47D71"/>
    <w:rsid w:val="00E52C10"/>
    <w:rsid w:val="00E54288"/>
    <w:rsid w:val="00E54B5A"/>
    <w:rsid w:val="00E56290"/>
    <w:rsid w:val="00E56B51"/>
    <w:rsid w:val="00E65C2F"/>
    <w:rsid w:val="00E76A61"/>
    <w:rsid w:val="00E774B0"/>
    <w:rsid w:val="00E87BEF"/>
    <w:rsid w:val="00E902F1"/>
    <w:rsid w:val="00E91304"/>
    <w:rsid w:val="00E93B1B"/>
    <w:rsid w:val="00E9445B"/>
    <w:rsid w:val="00EA0A7C"/>
    <w:rsid w:val="00EA23BD"/>
    <w:rsid w:val="00EA7276"/>
    <w:rsid w:val="00EB034D"/>
    <w:rsid w:val="00EB3F93"/>
    <w:rsid w:val="00EB7E26"/>
    <w:rsid w:val="00EC19D4"/>
    <w:rsid w:val="00EC1D3F"/>
    <w:rsid w:val="00EC2920"/>
    <w:rsid w:val="00EC4872"/>
    <w:rsid w:val="00EC5F53"/>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0BE0"/>
    <w:rsid w:val="00F07930"/>
    <w:rsid w:val="00F12FBF"/>
    <w:rsid w:val="00F17B87"/>
    <w:rsid w:val="00F2589D"/>
    <w:rsid w:val="00F3466A"/>
    <w:rsid w:val="00F43369"/>
    <w:rsid w:val="00F43E40"/>
    <w:rsid w:val="00F45096"/>
    <w:rsid w:val="00F45947"/>
    <w:rsid w:val="00F470D3"/>
    <w:rsid w:val="00F52789"/>
    <w:rsid w:val="00F60A5D"/>
    <w:rsid w:val="00F743B0"/>
    <w:rsid w:val="00F80CC5"/>
    <w:rsid w:val="00F84243"/>
    <w:rsid w:val="00F93105"/>
    <w:rsid w:val="00FA209D"/>
    <w:rsid w:val="00FB3591"/>
    <w:rsid w:val="00FB7971"/>
    <w:rsid w:val="00FC1C4F"/>
    <w:rsid w:val="00FC1C97"/>
    <w:rsid w:val="00FC2CA6"/>
    <w:rsid w:val="00FC2CD8"/>
    <w:rsid w:val="00FC4994"/>
    <w:rsid w:val="00FD0741"/>
    <w:rsid w:val="00FE0A1A"/>
    <w:rsid w:val="00FE2121"/>
    <w:rsid w:val="00FE3B42"/>
    <w:rsid w:val="00FE3BDA"/>
    <w:rsid w:val="00FF5916"/>
    <w:rsid w:val="01234289"/>
    <w:rsid w:val="01BB69DA"/>
    <w:rsid w:val="03140AA2"/>
    <w:rsid w:val="046451CE"/>
    <w:rsid w:val="04CD7D64"/>
    <w:rsid w:val="05DA1B75"/>
    <w:rsid w:val="07406B93"/>
    <w:rsid w:val="07C16A08"/>
    <w:rsid w:val="081F1FB9"/>
    <w:rsid w:val="08613963"/>
    <w:rsid w:val="08BA008A"/>
    <w:rsid w:val="09563133"/>
    <w:rsid w:val="099A2105"/>
    <w:rsid w:val="0FB525EE"/>
    <w:rsid w:val="0FC53136"/>
    <w:rsid w:val="109116D6"/>
    <w:rsid w:val="12031186"/>
    <w:rsid w:val="12931977"/>
    <w:rsid w:val="12BD274E"/>
    <w:rsid w:val="13814A1B"/>
    <w:rsid w:val="145B1C45"/>
    <w:rsid w:val="154F13DA"/>
    <w:rsid w:val="16344310"/>
    <w:rsid w:val="168610F5"/>
    <w:rsid w:val="16BB42A3"/>
    <w:rsid w:val="17E716E9"/>
    <w:rsid w:val="182721AC"/>
    <w:rsid w:val="18502037"/>
    <w:rsid w:val="18C06D74"/>
    <w:rsid w:val="18FB1CF2"/>
    <w:rsid w:val="197D5ABF"/>
    <w:rsid w:val="19A54864"/>
    <w:rsid w:val="1AB60040"/>
    <w:rsid w:val="1BDE0CAD"/>
    <w:rsid w:val="1C494FDB"/>
    <w:rsid w:val="1C760FBE"/>
    <w:rsid w:val="1D3F0AD5"/>
    <w:rsid w:val="1E0C454E"/>
    <w:rsid w:val="1FF23D36"/>
    <w:rsid w:val="21ED676D"/>
    <w:rsid w:val="22A30C64"/>
    <w:rsid w:val="22C40D15"/>
    <w:rsid w:val="2350060C"/>
    <w:rsid w:val="23774DFB"/>
    <w:rsid w:val="23C96E08"/>
    <w:rsid w:val="25E358EE"/>
    <w:rsid w:val="265C67DD"/>
    <w:rsid w:val="26970B26"/>
    <w:rsid w:val="27BD45FF"/>
    <w:rsid w:val="27E33868"/>
    <w:rsid w:val="28FE4662"/>
    <w:rsid w:val="29361C2B"/>
    <w:rsid w:val="29774466"/>
    <w:rsid w:val="2A0F4201"/>
    <w:rsid w:val="2AEB1E5A"/>
    <w:rsid w:val="2B8625BE"/>
    <w:rsid w:val="2CA60FC4"/>
    <w:rsid w:val="2D2B448E"/>
    <w:rsid w:val="2FF34915"/>
    <w:rsid w:val="31721B70"/>
    <w:rsid w:val="3185531A"/>
    <w:rsid w:val="328522BE"/>
    <w:rsid w:val="331E4C1A"/>
    <w:rsid w:val="335601C3"/>
    <w:rsid w:val="33F54821"/>
    <w:rsid w:val="35DB54D6"/>
    <w:rsid w:val="37B114AF"/>
    <w:rsid w:val="383E199E"/>
    <w:rsid w:val="399F28EF"/>
    <w:rsid w:val="39BA6599"/>
    <w:rsid w:val="3A422C5A"/>
    <w:rsid w:val="3A60602B"/>
    <w:rsid w:val="422B2661"/>
    <w:rsid w:val="426224A6"/>
    <w:rsid w:val="42982300"/>
    <w:rsid w:val="43250476"/>
    <w:rsid w:val="44307945"/>
    <w:rsid w:val="45B31BF8"/>
    <w:rsid w:val="472D2614"/>
    <w:rsid w:val="4897220E"/>
    <w:rsid w:val="48C804F4"/>
    <w:rsid w:val="49343EE8"/>
    <w:rsid w:val="49364B27"/>
    <w:rsid w:val="499E1B50"/>
    <w:rsid w:val="4AD818DA"/>
    <w:rsid w:val="4B1E5A56"/>
    <w:rsid w:val="4C665F1D"/>
    <w:rsid w:val="4CC0510F"/>
    <w:rsid w:val="4E3C66C8"/>
    <w:rsid w:val="4E6C5390"/>
    <w:rsid w:val="4ECA31DC"/>
    <w:rsid w:val="4F05414C"/>
    <w:rsid w:val="50476F59"/>
    <w:rsid w:val="51EC6135"/>
    <w:rsid w:val="572F2943"/>
    <w:rsid w:val="57D83C46"/>
    <w:rsid w:val="586214C2"/>
    <w:rsid w:val="590A25B0"/>
    <w:rsid w:val="5A137A47"/>
    <w:rsid w:val="5A622306"/>
    <w:rsid w:val="5AB01723"/>
    <w:rsid w:val="5C6317A5"/>
    <w:rsid w:val="5D5E2859"/>
    <w:rsid w:val="619D2282"/>
    <w:rsid w:val="621F0476"/>
    <w:rsid w:val="6230351A"/>
    <w:rsid w:val="63D37DC1"/>
    <w:rsid w:val="65151317"/>
    <w:rsid w:val="671D7CC1"/>
    <w:rsid w:val="672C6186"/>
    <w:rsid w:val="687C70C4"/>
    <w:rsid w:val="69074462"/>
    <w:rsid w:val="695E0C31"/>
    <w:rsid w:val="6C9B0C01"/>
    <w:rsid w:val="6D5B3725"/>
    <w:rsid w:val="6E546A74"/>
    <w:rsid w:val="6FA67F07"/>
    <w:rsid w:val="71092A4F"/>
    <w:rsid w:val="72122435"/>
    <w:rsid w:val="73322D14"/>
    <w:rsid w:val="75736568"/>
    <w:rsid w:val="772B577B"/>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AAC610-A40E-40FB-9DEA-37CD72FC05D2}">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273</Words>
  <Characters>1559</Characters>
  <Lines>12</Lines>
  <Paragraphs>3</Paragraphs>
  <TotalTime>0</TotalTime>
  <ScaleCrop>false</ScaleCrop>
  <LinksUpToDate>false</LinksUpToDate>
  <CharactersWithSpaces>1829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2021-04-25T07:52:00Z</dcterms:created>
  <dc:creator>nsh</dc:creator>
  <cp:lastModifiedBy>赵玲利</cp:lastModifiedBy>
  <cp:lastPrinted>2021-04-20T11:05:00Z</cp:lastPrinted>
  <dcterms:modified xsi:type="dcterms:W3CDTF">2021-10-27T04:17:17Z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CD1C6435C1CF4CB88E72637611CFF855</vt:lpwstr>
  </property>
</Properties>
</file>