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2021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310</w:t>
      </w:r>
      <w:r>
        <w:rPr>
          <w:rFonts w:asciiTheme="minorEastAsia" w:hAnsiTheme="minorEastAsia"/>
          <w:b/>
          <w:sz w:val="32"/>
          <w:szCs w:val="32"/>
        </w:rPr>
        <w:t>期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 xml:space="preserve"> 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</w:t>
      </w:r>
      <w:r>
        <w:rPr>
          <w:rFonts w:hint="eastAsia" w:asciiTheme="minorEastAsia" w:hAnsiTheme="minorEastAsia"/>
          <w:szCs w:val="21"/>
          <w:lang w:eastAsia="zh-CN"/>
        </w:rPr>
        <w:t>2021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310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12021310GFJ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7144.90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4.10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405" w:firstLineChars="305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  <w:lang w:eastAsia="zh-CN"/>
        </w:rPr>
        <w:t>2021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1月12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27EA0"/>
    <w:rsid w:val="00162A2E"/>
    <w:rsid w:val="001713F6"/>
    <w:rsid w:val="00180566"/>
    <w:rsid w:val="00183AB8"/>
    <w:rsid w:val="001849DC"/>
    <w:rsid w:val="001A7463"/>
    <w:rsid w:val="001B467B"/>
    <w:rsid w:val="001D276A"/>
    <w:rsid w:val="001E14F0"/>
    <w:rsid w:val="001F5750"/>
    <w:rsid w:val="00207AA4"/>
    <w:rsid w:val="00226F50"/>
    <w:rsid w:val="00271FF6"/>
    <w:rsid w:val="002734E0"/>
    <w:rsid w:val="002A7754"/>
    <w:rsid w:val="002B0053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7411190"/>
    <w:rsid w:val="08452FB3"/>
    <w:rsid w:val="09234E66"/>
    <w:rsid w:val="0B386F92"/>
    <w:rsid w:val="117F7B6F"/>
    <w:rsid w:val="12663B03"/>
    <w:rsid w:val="13B248CF"/>
    <w:rsid w:val="15404F3E"/>
    <w:rsid w:val="19E2516F"/>
    <w:rsid w:val="1A8B35F6"/>
    <w:rsid w:val="1C577560"/>
    <w:rsid w:val="1D3D2B3B"/>
    <w:rsid w:val="1E2E5A3D"/>
    <w:rsid w:val="1EE60593"/>
    <w:rsid w:val="212040B1"/>
    <w:rsid w:val="25C868B5"/>
    <w:rsid w:val="26D2622D"/>
    <w:rsid w:val="27002FEC"/>
    <w:rsid w:val="288F29DE"/>
    <w:rsid w:val="2936295C"/>
    <w:rsid w:val="2B227487"/>
    <w:rsid w:val="304E103D"/>
    <w:rsid w:val="328532DD"/>
    <w:rsid w:val="37A767E3"/>
    <w:rsid w:val="38F32BFC"/>
    <w:rsid w:val="39F61F33"/>
    <w:rsid w:val="3A581324"/>
    <w:rsid w:val="3C22297E"/>
    <w:rsid w:val="3E0E59A1"/>
    <w:rsid w:val="3E317423"/>
    <w:rsid w:val="3E7430BC"/>
    <w:rsid w:val="40033530"/>
    <w:rsid w:val="43F84688"/>
    <w:rsid w:val="478245AC"/>
    <w:rsid w:val="4B1027FF"/>
    <w:rsid w:val="4B6A4F40"/>
    <w:rsid w:val="4C6B79E6"/>
    <w:rsid w:val="4E61047E"/>
    <w:rsid w:val="4FBF5376"/>
    <w:rsid w:val="51C60B2E"/>
    <w:rsid w:val="523D6EE9"/>
    <w:rsid w:val="53B21231"/>
    <w:rsid w:val="545536F7"/>
    <w:rsid w:val="5AA90850"/>
    <w:rsid w:val="5ED1492D"/>
    <w:rsid w:val="5F644395"/>
    <w:rsid w:val="6AA11206"/>
    <w:rsid w:val="6E1B1A77"/>
    <w:rsid w:val="70466CFE"/>
    <w:rsid w:val="70FE5DC2"/>
    <w:rsid w:val="73355AD6"/>
    <w:rsid w:val="785033DC"/>
    <w:rsid w:val="7CCE420E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335</Characters>
  <Lines>2</Lines>
  <Paragraphs>1</Paragraphs>
  <TotalTime>376</TotalTime>
  <ScaleCrop>false</ScaleCrop>
  <LinksUpToDate>false</LinksUpToDate>
  <CharactersWithSpaces>392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李晓璐</cp:lastModifiedBy>
  <cp:lastPrinted>2021-01-12T04:56:47Z</cp:lastPrinted>
  <dcterms:modified xsi:type="dcterms:W3CDTF">2021-01-12T04:56:52Z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